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Big Cypress Acquisition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Big Cypress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001-39871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July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5594350</wp:posOffset>
            </wp:positionH>
            <wp:positionV relativeFrom="paragraph">
              <wp:posOffset>142875</wp:posOffset>
            </wp:positionV>
            <wp:extent cx="1543050"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This filing relates to the proposed business combination of Big Cypress Acquisition Corp. (“Big Cypress”) and SAB Biotherapeutics, Inc. (“SAB Biotherapeutics”).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The following was made available to SAB Biotherapeutics stockholders on July 20,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SAB Biotherapeutics and Big Cypress SPAC Announcement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STOCKHOLDER Q&amp;A – NOT FOR DISTRIBUTION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TRANSACTION OVERVIEW</w:t>
      </w:r>
    </w:p>
    <w:p>
      <w:pPr>
        <w:spacing w:after="0" w:line="221"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happened?</w:t>
      </w:r>
    </w:p>
    <w:p>
      <w:pPr>
        <w:spacing w:after="0" w:line="229" w:lineRule="exact"/>
        <w:rPr>
          <w:rFonts w:ascii="Arial" w:cs="Arial" w:eastAsia="Arial" w:hAnsi="Arial"/>
          <w:sz w:val="18"/>
          <w:szCs w:val="18"/>
          <w:b w:val="1"/>
          <w:bCs w:val="1"/>
          <w:color w:val="auto"/>
        </w:rPr>
      </w:pPr>
    </w:p>
    <w:p>
      <w:pPr>
        <w:ind w:left="660" w:hanging="283"/>
        <w:spacing w:after="0"/>
        <w:tabs>
          <w:tab w:leader="none" w:pos="660" w:val="left"/>
        </w:tabs>
        <w:numPr>
          <w:ilvl w:val="2"/>
          <w:numId w:val="1"/>
        </w:numPr>
        <w:rPr>
          <w:rFonts w:ascii="Arial" w:cs="Arial" w:eastAsia="Arial" w:hAnsi="Arial"/>
          <w:sz w:val="18"/>
          <w:szCs w:val="18"/>
          <w:color w:val="auto"/>
        </w:rPr>
      </w:pPr>
      <w:r>
        <w:rPr>
          <w:rFonts w:ascii="Arial" w:cs="Arial" w:eastAsia="Arial" w:hAnsi="Arial"/>
          <w:sz w:val="18"/>
          <w:szCs w:val="18"/>
          <w:color w:val="auto"/>
        </w:rPr>
        <w:t>SAB Biotherapeutics (SAB) has entered into a definitive merger agreement with Big Cypress Acquisition Corp. (NASDAQ: BCYP).</w:t>
      </w:r>
    </w:p>
    <w:p>
      <w:pPr>
        <w:spacing w:after="0" w:line="225" w:lineRule="exact"/>
        <w:rPr>
          <w:rFonts w:ascii="Arial" w:cs="Arial" w:eastAsia="Arial" w:hAnsi="Arial"/>
          <w:sz w:val="18"/>
          <w:szCs w:val="18"/>
          <w:color w:val="auto"/>
        </w:rPr>
      </w:pPr>
    </w:p>
    <w:p>
      <w:pPr>
        <w:ind w:left="660" w:hanging="283"/>
        <w:spacing w:after="0" w:line="277" w:lineRule="auto"/>
        <w:tabs>
          <w:tab w:leader="none" w:pos="660" w:val="left"/>
        </w:tabs>
        <w:numPr>
          <w:ilvl w:val="2"/>
          <w:numId w:val="1"/>
        </w:numPr>
        <w:rPr>
          <w:rFonts w:ascii="Arial" w:cs="Arial" w:eastAsia="Arial" w:hAnsi="Arial"/>
          <w:sz w:val="18"/>
          <w:szCs w:val="18"/>
          <w:color w:val="auto"/>
        </w:rPr>
      </w:pPr>
      <w:r>
        <w:rPr>
          <w:rFonts w:ascii="Arial" w:cs="Arial" w:eastAsia="Arial" w:hAnsi="Arial"/>
          <w:sz w:val="18"/>
          <w:szCs w:val="18"/>
          <w:color w:val="auto"/>
        </w:rPr>
        <w:t>Upon closing of the proposed transaction, SAB is expected to be listed on NASDAQ and continue to operate as SAB Biotherapeutics under the current management team.</w:t>
      </w:r>
    </w:p>
    <w:p>
      <w:pPr>
        <w:spacing w:after="0" w:line="170" w:lineRule="exact"/>
        <w:rPr>
          <w:rFonts w:ascii="Arial" w:cs="Arial" w:eastAsia="Arial" w:hAnsi="Arial"/>
          <w:sz w:val="18"/>
          <w:szCs w:val="18"/>
          <w:color w:val="auto"/>
        </w:rPr>
      </w:pPr>
    </w:p>
    <w:p>
      <w:pPr>
        <w:ind w:left="660" w:hanging="283"/>
        <w:spacing w:after="0"/>
        <w:tabs>
          <w:tab w:leader="none" w:pos="660" w:val="left"/>
        </w:tabs>
        <w:numPr>
          <w:ilvl w:val="2"/>
          <w:numId w:val="1"/>
        </w:numPr>
        <w:rPr>
          <w:rFonts w:ascii="Arial" w:cs="Arial" w:eastAsia="Arial" w:hAnsi="Arial"/>
          <w:sz w:val="18"/>
          <w:szCs w:val="18"/>
          <w:color w:val="auto"/>
        </w:rPr>
      </w:pPr>
      <w:r>
        <w:rPr>
          <w:rFonts w:ascii="Arial" w:cs="Arial" w:eastAsia="Arial" w:hAnsi="Arial"/>
          <w:sz w:val="18"/>
          <w:szCs w:val="18"/>
          <w:color w:val="auto"/>
        </w:rPr>
        <w:t>The business combination is expected to be completed in the fourth quarter of 2021.</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valuation?</w:t>
      </w:r>
    </w:p>
    <w:p>
      <w:pPr>
        <w:spacing w:after="0" w:line="229" w:lineRule="exact"/>
        <w:rPr>
          <w:rFonts w:ascii="Arial" w:cs="Arial" w:eastAsia="Arial" w:hAnsi="Arial"/>
          <w:sz w:val="18"/>
          <w:szCs w:val="18"/>
          <w:b w:val="1"/>
          <w:bCs w:val="1"/>
          <w:color w:val="auto"/>
        </w:rPr>
      </w:pPr>
    </w:p>
    <w:p>
      <w:pPr>
        <w:jc w:val="both"/>
        <w:ind w:left="660" w:hanging="328"/>
        <w:spacing w:after="0" w:line="263"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proposed transaction implies an enterprise value for SAB, on a post-merger basis, of approximately $325 million (assuming a share price of $10.10 per share at closing, which share price is subject to market fluctuations) and is expected to provide SAB with in excess of $100 million of pro forma cash (assuming no redemptions from Big Cypress’ trust account).</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merger agreement provides that the current securityholders of SAB will also have the opportunity to receive up to 12 million additional public company shares in the future subject to the public company meeting certain trading price thresholds, which range from $15.00 to $30.00 per share. This would provide the current securityholders of SAB with the potential significant additional value of between $45 million and $270 million in aggregate if all of these shares are issued in the future.</w:t>
      </w:r>
    </w:p>
    <w:p>
      <w:pPr>
        <w:spacing w:after="0" w:line="18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How much capital do we anticipate this process will provide SAB?</w:t>
      </w:r>
    </w:p>
    <w:p>
      <w:pPr>
        <w:spacing w:after="0" w:line="229"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Big Cypress has over $100 million in trust, however the investors in that trust will have the opportunity to request that a portion of the trust be used to redeem their shares of Big Cypress (this is called a redemption), so theoretically all of the Trust investors could “redeem” their shares at the price of approximately $10.10 per share. Our goal is to retain as many of the Trust investors as possible and we are undertaking a number of activities intended to do so.</w:t>
      </w:r>
    </w:p>
    <w:p>
      <w:pPr>
        <w:spacing w:after="0" w:line="18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What is SAB going to do with the additional funding?</w:t>
      </w:r>
    </w:p>
    <w:p>
      <w:pPr>
        <w:spacing w:after="0" w:line="229" w:lineRule="exact"/>
        <w:rPr>
          <w:rFonts w:ascii="Arial" w:cs="Arial" w:eastAsia="Arial" w:hAnsi="Arial"/>
          <w:sz w:val="18"/>
          <w:szCs w:val="18"/>
          <w:b w:val="1"/>
          <w:bCs w:val="1"/>
          <w:color w:val="auto"/>
        </w:rPr>
      </w:pPr>
    </w:p>
    <w:p>
      <w:pPr>
        <w:jc w:val="both"/>
        <w:ind w:left="660" w:hanging="328"/>
        <w:spacing w:after="0" w:line="263"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Management intends to use anticipated resources post-transaction (proceeds from the business combination) to further expand the new drug R&amp;D and production capabilities and support advancement of SAB’s robust pipeline and platform through multiple catalysts across several programs. These potentially include multiple clinical data read-outs, which represent potential value inflection events.</w:t>
      </w:r>
    </w:p>
    <w:p>
      <w:pPr>
        <w:spacing w:after="0" w:line="17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When can we expect the funds will be available to SAB?</w:t>
      </w:r>
    </w:p>
    <w:p>
      <w:pPr>
        <w:spacing w:after="0" w:line="22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Immediately post-closing.</w:t>
      </w:r>
    </w:p>
    <w:p>
      <w:pPr>
        <w:spacing w:after="0" w:line="221" w:lineRule="exact"/>
        <w:rPr>
          <w:sz w:val="24"/>
          <w:szCs w:val="24"/>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It seems sudden, how did this happen?</w:t>
      </w:r>
    </w:p>
    <w:p>
      <w:pPr>
        <w:spacing w:after="0" w:line="229" w:lineRule="exact"/>
        <w:rPr>
          <w:rFonts w:ascii="Arial" w:cs="Arial" w:eastAsia="Arial" w:hAnsi="Arial"/>
          <w:sz w:val="18"/>
          <w:szCs w:val="18"/>
          <w:b w:val="1"/>
          <w:bCs w:val="1"/>
          <w:color w:val="auto"/>
        </w:rPr>
      </w:pPr>
    </w:p>
    <w:p>
      <w:pPr>
        <w:ind w:left="660" w:right="2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setting the Corporate Goals for 2021 last year, SAB elected to pursue the goal of preparing for and potentially entering the public equity market by becoming a publicly traded company.</w:t>
      </w:r>
    </w:p>
    <w:p>
      <w:pPr>
        <w:spacing w:after="0" w:line="170" w:lineRule="exact"/>
        <w:rPr>
          <w:rFonts w:ascii="Arial" w:cs="Arial" w:eastAsia="Arial" w:hAnsi="Arial"/>
          <w:sz w:val="18"/>
          <w:szCs w:val="18"/>
          <w:color w:val="auto"/>
        </w:rPr>
      </w:pPr>
    </w:p>
    <w:p>
      <w:pPr>
        <w:jc w:val="both"/>
        <w:ind w:left="660" w:hanging="283"/>
        <w:spacing w:after="0" w:line="259" w:lineRule="auto"/>
        <w:tabs>
          <w:tab w:leader="none" w:pos="660" w:val="left"/>
        </w:tabs>
        <w:numPr>
          <w:ilvl w:val="2"/>
          <w:numId w:val="3"/>
        </w:numPr>
        <w:rPr>
          <w:rFonts w:ascii="Arial" w:cs="Arial" w:eastAsia="Arial" w:hAnsi="Arial"/>
          <w:sz w:val="18"/>
          <w:szCs w:val="18"/>
          <w:color w:val="auto"/>
        </w:rPr>
      </w:pPr>
      <w:r>
        <w:rPr>
          <w:rFonts w:ascii="Arial" w:cs="Arial" w:eastAsia="Arial" w:hAnsi="Arial"/>
          <w:sz w:val="18"/>
          <w:szCs w:val="18"/>
          <w:color w:val="auto"/>
        </w:rPr>
        <w:t>On Monday, June 21, we took the initial step to accomplish this goal, which marks an important milestone for SAB. As seen in our press release, we have announced a definitive business combination agreement with Big Cypress Acquisition Corp., a special-purpose acquisition company (SPAC) or “blank check” company that went public with a focus on selecting an innovative biopharmaceutical firm to take public via a business combination transaction.</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pathway is expected to provide a streamlined means of taking SAB public.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SAB BIOTHERAPEUTICS, INC. – INTERNAL MASTER Q&amp;A – CONFIDENTIAL</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445" w:right="339" w:bottom="0" w:gutter="0" w:footer="0" w:header="0"/>
        </w:sectPr>
      </w:pPr>
    </w:p>
    <w:bookmarkStart w:id="1" w:name="page2"/>
    <w:bookmarkEnd w:id="1"/>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Why is SAB doing this? How is it strategic to the Company?</w:t>
      </w:r>
    </w:p>
    <w:p>
      <w:pPr>
        <w:spacing w:after="0" w:line="229" w:lineRule="exact"/>
        <w:rPr>
          <w:rFonts w:ascii="Arial" w:cs="Arial" w:eastAsia="Arial" w:hAnsi="Arial"/>
          <w:sz w:val="18"/>
          <w:szCs w:val="18"/>
          <w:b w:val="1"/>
          <w:bCs w:val="1"/>
          <w:color w:val="auto"/>
        </w:rPr>
      </w:pPr>
    </w:p>
    <w:p>
      <w:pPr>
        <w:jc w:val="both"/>
        <w:ind w:left="660" w:hanging="328"/>
        <w:spacing w:after="0" w:line="286"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SAB is pursuing a number of high potential new drug initiatives and needs appropriate funding in order to advance these programs and accomplish our goals. Upon closing, the transaction should give SAB an important new funding source, both this year and ongoing, since public companies generally have more options for raising capital and generally can do so less expensively than private companies.</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funding that is expected to be available at the closing of the business combination (potentially &gt;$100M) and the enhanced financing options we expect to have as a public company are intended to provide the fuel to fund our strategic and operational objectives and to build sustainable value in the company. Being public also raises the profile of the company, which can support SAB’s success as a business and its partnering efforts.</w:t>
      </w:r>
    </w:p>
    <w:p>
      <w:pPr>
        <w:spacing w:after="0" w:line="182"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is SAB aiming to do?</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Advance its unique human antibody platform with demonstrated utility in immunotherapy and rapid response to emerging diseases.</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is unique about SAB?</w:t>
      </w:r>
    </w:p>
    <w:p>
      <w:pPr>
        <w:spacing w:after="0" w:line="229" w:lineRule="exact"/>
        <w:rPr>
          <w:rFonts w:ascii="Arial" w:cs="Arial" w:eastAsia="Arial" w:hAnsi="Arial"/>
          <w:sz w:val="18"/>
          <w:szCs w:val="18"/>
          <w:b w:val="1"/>
          <w:bCs w:val="1"/>
          <w:color w:val="auto"/>
        </w:rPr>
      </w:pPr>
    </w:p>
    <w:p>
      <w:pPr>
        <w:ind w:left="660" w:hanging="328"/>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SAB’s targeted, highly-potent polyclonal antibodies harness the immune system’s innate power, in essence turbocharging the natural way our bodies fight pathogens and their variants, modulate immune disorders, and potentially combat cancer via multiple mechanisms.</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SAB’s DiversitAbTM platform leverages its proprietary transchromosomic (Tc) bovineTM herds to produce highly-potent targeted fully-human polyclonal antibody therapeutics for a wide range of immune system disorders, cancer and infectious diseases without the need for human donors.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SAB believes it has extensive opportunities to expand its pharma partnerships by leveraging the broad therapeutic discovery and development engine and collaboration potential inherent in its platform.</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has SAB accomplished?</w:t>
      </w:r>
    </w:p>
    <w:p>
      <w:pPr>
        <w:spacing w:after="0" w:line="229" w:lineRule="exact"/>
        <w:rPr>
          <w:rFonts w:ascii="Arial" w:cs="Arial" w:eastAsia="Arial" w:hAnsi="Arial"/>
          <w:sz w:val="18"/>
          <w:szCs w:val="18"/>
          <w:b w:val="1"/>
          <w:bCs w:val="1"/>
          <w:color w:val="auto"/>
        </w:rPr>
      </w:pPr>
    </w:p>
    <w:p>
      <w:pPr>
        <w:jc w:val="both"/>
        <w:ind w:left="660" w:hanging="328"/>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~$250M to date in non-dilutive funding from the US Government and other sources has enabled the company to build out its bioproduction infrastructure, generate validating proof-of-platform clinical data in multiple programs, and progress the clinical development of its most advanced candidates.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SAB-185–a novel government-funded therapeutic for COVID-19—moved from concept to the clinic in just 128 days and has the potential to effectively address emerging variants.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1"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SPAC?</w:t>
      </w:r>
    </w:p>
    <w:p>
      <w:pPr>
        <w:spacing w:after="0" w:line="229" w:lineRule="exact"/>
        <w:rPr>
          <w:rFonts w:ascii="Arial" w:cs="Arial" w:eastAsia="Arial" w:hAnsi="Arial"/>
          <w:sz w:val="18"/>
          <w:szCs w:val="18"/>
          <w:b w:val="1"/>
          <w:bCs w:val="1"/>
          <w:color w:val="auto"/>
        </w:rPr>
      </w:pPr>
    </w:p>
    <w:p>
      <w:pPr>
        <w:jc w:val="both"/>
        <w:ind w:left="660" w:hanging="283"/>
        <w:spacing w:after="0" w:line="259"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SPAC stands for “Special Purpose Acquisition Corporation” and is a publicly traded investment firm in which the SPAC sponsor typically looks for a single privately held operating company (like SAB), that fits a specific profile, in order to merge with that company and thereby make that company a publicly traded company. SPACs raise funds from investors in their IPO that post-merger are expected to be available to the identified target company to help fund its growth.</w:t>
      </w:r>
    </w:p>
    <w:p>
      <w:pPr>
        <w:spacing w:after="0" w:line="182"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Why SPAC as opposed to IPO?</w:t>
      </w:r>
    </w:p>
    <w:p>
      <w:pPr>
        <w:spacing w:after="0" w:line="229" w:lineRule="exact"/>
        <w:rPr>
          <w:sz w:val="20"/>
          <w:szCs w:val="20"/>
          <w:color w:val="auto"/>
        </w:rPr>
      </w:pPr>
    </w:p>
    <w:p>
      <w:pPr>
        <w:jc w:val="both"/>
        <w:ind w:left="660" w:hanging="328"/>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past SPACs have been viewed as an alternative funding source to IPOs. More recently, they have gained popularity as a mainstream funding source. SPACs can allow companies to become public more quickly and more efficiently and with greater certainty on valuation. SAB has been open to both pathways and believes that this is the right combination of SPAC profile, economic terms, SPAC team, and timing for the transaction.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SAB BIOTHERAPEUTICS, INC. – STOCKHOLDER Q&amp;A – NOT FOR DISTRIBUTION</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688" w:right="339" w:bottom="1440" w:gutter="0" w:footer="0" w:header="0"/>
        </w:sectPr>
      </w:pPr>
    </w:p>
    <w:bookmarkStart w:id="2" w:name="page3"/>
    <w:bookmarkEnd w:id="2"/>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this SPAC (BCYP)?</w:t>
      </w:r>
    </w:p>
    <w:p>
      <w:pPr>
        <w:spacing w:after="0" w:line="229" w:lineRule="exact"/>
        <w:rPr>
          <w:rFonts w:ascii="Arial" w:cs="Arial" w:eastAsia="Arial" w:hAnsi="Arial"/>
          <w:sz w:val="18"/>
          <w:szCs w:val="18"/>
          <w:b w:val="1"/>
          <w:bCs w:val="1"/>
          <w:color w:val="auto"/>
        </w:rPr>
      </w:pPr>
    </w:p>
    <w:p>
      <w:pPr>
        <w:ind w:left="660" w:hanging="283"/>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SAB was approached by multiple SPACs that were not synergistic with our goals, funding needs and timelines.</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BCYP aligned well with our funding needs, timeline, goals and “fit” with their team and network.</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Their team includes tenured biotech executives who understand the complexities and nuances of therapeutic R&amp;D, are experienced in establishing industry partnerships and have strong networks in the relevant financial and investor communities.</w:t>
      </w:r>
    </w:p>
    <w:p>
      <w:pPr>
        <w:spacing w:after="0" w:line="170" w:lineRule="exact"/>
        <w:rPr>
          <w:rFonts w:ascii="Arial" w:cs="Arial" w:eastAsia="Arial" w:hAnsi="Arial"/>
          <w:sz w:val="18"/>
          <w:szCs w:val="18"/>
          <w:color w:val="auto"/>
        </w:rPr>
      </w:pPr>
    </w:p>
    <w:p>
      <w:pPr>
        <w:ind w:left="660" w:hanging="283"/>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Importantly, they also share our values of corporate integrity and respect for the individual.</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target profile for Big Cypress?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evaluating the merger, Big Cypress considered the following criteria and guidelines to evaluate prospective business opportunities:</w:t>
      </w:r>
    </w:p>
    <w:p>
      <w:pPr>
        <w:spacing w:after="0" w:line="225" w:lineRule="exact"/>
        <w:rPr>
          <w:sz w:val="20"/>
          <w:szCs w:val="20"/>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Growth-oriented Life Science company</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Well positioned to act as a standalone public company</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Novel products and platform with potential to address unmet medical needs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Prospective value creation for opportunities that would be fully valued as a public company, through organic or  inorganic growth</w:t>
      </w:r>
    </w:p>
    <w:p>
      <w:pPr>
        <w:spacing w:after="0" w:line="22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Why did BCYP choose SAB?</w:t>
      </w:r>
    </w:p>
    <w:p>
      <w:pPr>
        <w:spacing w:after="0" w:line="229"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BCYP had researched approximately 60 companies in its search for a SPAC merger partner, and selected SAB as its top candidate because it met and exceeded the above criteria, as well as the following additional factors.</w:t>
      </w:r>
    </w:p>
    <w:p>
      <w:pPr>
        <w:spacing w:after="0" w:line="170" w:lineRule="exact"/>
        <w:rPr>
          <w:rFonts w:ascii="Arial" w:cs="Arial" w:eastAsia="Arial" w:hAnsi="Arial"/>
          <w:sz w:val="18"/>
          <w:szCs w:val="18"/>
          <w:color w:val="auto"/>
        </w:rPr>
      </w:pPr>
    </w:p>
    <w:p>
      <w:pPr>
        <w:jc w:val="both"/>
        <w:ind w:left="660" w:hanging="283"/>
        <w:spacing w:after="0" w:line="263" w:lineRule="auto"/>
        <w:tabs>
          <w:tab w:leader="none" w:pos="6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combination of powerful, broadly applicable proprietary platform technology; dedicated, knowledgeable and talented team; strong proof of concept data set; attractive clinical and late preclinical stage candidates; and the breadth/robustness of operations and assets characterizing SAB represented a highly attractive opportunity with excellent growth prospects.</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212529"/>
        </w:rPr>
        <w:t>In addition to a distinctive and exciting approach to marrying the power of nature with advanced genomic technology, they also liked that SAB’s innovative technology and management team are unconventional by biotech standards, with their novel DiversitAbTM platform leveraging Tc bovine herds that rapidly produce fully-human polyclonal antibodies with broad therapeutic potential, as well as their location in our nation’s heartland.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212529"/>
        </w:rPr>
        <w:t>SAB met or exceeded BCYP criteria, demonstrating de-risked early development processes, clinical proof-of-concept, therapeutic targets with large unmet needs and what we expect to be manageable Phase 3 trials, high-value indications, and the ability to efficiently put additional capital to work advancing a high potential pipeline.</w:t>
      </w:r>
    </w:p>
    <w:p>
      <w:pPr>
        <w:spacing w:after="0" w:line="179"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Will the transaction close?</w:t>
      </w:r>
    </w:p>
    <w:p>
      <w:pPr>
        <w:spacing w:after="0" w:line="229" w:lineRule="exact"/>
        <w:rPr>
          <w:rFonts w:ascii="Arial" w:cs="Arial" w:eastAsia="Arial" w:hAnsi="Arial"/>
          <w:sz w:val="18"/>
          <w:szCs w:val="18"/>
          <w:b w:val="1"/>
          <w:bCs w:val="1"/>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SAB and Big Cypress are both motivated to close, and intend to perform the necessary steps to fulfill the regulatory requirements of the transaction, with the goal of NASDAQ listing approval. We aim to successfully close the transaction in the fourth quarter of this year, although this target date is not a guarantee.</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transaction does not require a certain amount of cash be present at closing (“no minimum cash condition”), which increases the likelihood of a successful and timely close. In addition, it does not involve a concurrent PIPE (private investment in public entity) financing as part of the transaction– the absence of a PIPE could facilitate closing. However, the companies may choose to use a PIPE or other financing vehicle to raise additional funds during or after the close.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SAB BIOTHERAPEUTICS, INC. – STOCKHOLDER Q&amp;A – NOT FOR DISTRIBUTION</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688" w:right="339" w:bottom="1440" w:gutter="0" w:footer="0" w:header="0"/>
        </w:sectPr>
      </w:pPr>
    </w:p>
    <w:bookmarkStart w:id="3" w:name="page4"/>
    <w:bookmarkEnd w:id="3"/>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the ticker symbol be?</w:t>
      </w:r>
    </w:p>
    <w:p>
      <w:pPr>
        <w:spacing w:after="0" w:line="229" w:lineRule="exact"/>
        <w:rPr>
          <w:rFonts w:ascii="Arial" w:cs="Arial" w:eastAsia="Arial" w:hAnsi="Arial"/>
          <w:sz w:val="18"/>
          <w:szCs w:val="18"/>
          <w:b w:val="1"/>
          <w:bCs w:val="1"/>
          <w:color w:val="auto"/>
        </w:rPr>
      </w:pPr>
    </w:p>
    <w:p>
      <w:pPr>
        <w:ind w:left="660" w:hanging="283"/>
        <w:spacing w:after="0"/>
        <w:tabs>
          <w:tab w:leader="none" w:pos="6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We are in the process of completing our application with NASDAQ and selecting a ticker symbol.</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SAB ticker be live?</w:t>
      </w:r>
    </w:p>
    <w:p>
      <w:pPr>
        <w:spacing w:after="0" w:line="229" w:lineRule="exact"/>
        <w:rPr>
          <w:rFonts w:ascii="Arial" w:cs="Arial" w:eastAsia="Arial" w:hAnsi="Arial"/>
          <w:sz w:val="18"/>
          <w:szCs w:val="18"/>
          <w:b w:val="1"/>
          <w:bCs w:val="1"/>
          <w:color w:val="auto"/>
        </w:rPr>
      </w:pPr>
    </w:p>
    <w:p>
      <w:pPr>
        <w:ind w:left="660" w:hanging="283"/>
        <w:spacing w:after="0"/>
        <w:tabs>
          <w:tab w:leader="none" w:pos="6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Post-closing of the transaction.</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primary risks to the company with this process?</w:t>
      </w:r>
    </w:p>
    <w:p>
      <w:pPr>
        <w:spacing w:after="0" w:line="229" w:lineRule="exact"/>
        <w:rPr>
          <w:rFonts w:ascii="Arial" w:cs="Arial" w:eastAsia="Arial" w:hAnsi="Arial"/>
          <w:sz w:val="18"/>
          <w:szCs w:val="18"/>
          <w:b w:val="1"/>
          <w:bCs w:val="1"/>
          <w:color w:val="auto"/>
        </w:rPr>
      </w:pPr>
    </w:p>
    <w:p>
      <w:pPr>
        <w:ind w:left="660" w:hanging="283"/>
        <w:spacing w:after="0" w:line="277" w:lineRule="auto"/>
        <w:tabs>
          <w:tab w:leader="none" w:pos="6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There is risk that the merger transaction does not close, or closes with less than expected or inadequate funds in trust, leaving SAB facing significant transaction and operating expenses with less than expected or inadequate cash.</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There is risk that when the merger transaction closes, SAB’s share price may decline. If SAB needs to raise financing while its share price is low, stockholders could experience significant dilution from any equity financing. There are many other risks generally applicable to SPAC transactions that are identified in Big Cypress’ public filings (and will be identified in expected filings to be made in connection with the proposed transaction).</w:t>
      </w:r>
    </w:p>
    <w:p>
      <w:pPr>
        <w:spacing w:after="0" w:line="182"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Who are the new board members and how will they benefit the company?</w:t>
      </w:r>
    </w:p>
    <w:p>
      <w:pPr>
        <w:spacing w:after="0" w:line="229" w:lineRule="exact"/>
        <w:rPr>
          <w:rFonts w:ascii="Arial" w:cs="Arial" w:eastAsia="Arial" w:hAnsi="Arial"/>
          <w:sz w:val="18"/>
          <w:szCs w:val="18"/>
          <w:b w:val="1"/>
          <w:bCs w:val="1"/>
          <w:color w:val="auto"/>
        </w:rPr>
      </w:pPr>
    </w:p>
    <w:p>
      <w:pPr>
        <w:ind w:left="660" w:right="200" w:hanging="328"/>
        <w:spacing w:after="0" w:line="259"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expect the new board members to bring valuable experience, networks and skills to help the company succeed. Sam Reich is an experienced biotech entrepreneur and investor who has founded, built and successfully sold several biotech companies. He also has a background in drug development. Jeffrey Spragens has had a long and successful career both building and growing innovative life sciences companies and as a real estate developer. He also is an active and engaged philanthropist.</w:t>
      </w:r>
    </w:p>
    <w:p>
      <w:pPr>
        <w:spacing w:after="0" w:line="182"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Will we get the opportunity to meet the new board members?</w:t>
      </w:r>
    </w:p>
    <w:p>
      <w:pPr>
        <w:spacing w:after="0" w:line="225" w:lineRule="exact"/>
        <w:rPr>
          <w:rFonts w:ascii="Arial" w:cs="Arial" w:eastAsia="Arial" w:hAnsi="Arial"/>
          <w:sz w:val="18"/>
          <w:szCs w:val="18"/>
          <w:b w:val="1"/>
          <w:bCs w:val="1"/>
          <w:color w:val="auto"/>
        </w:rPr>
      </w:pPr>
    </w:p>
    <w:p>
      <w:pPr>
        <w:ind w:left="660" w:hanging="283"/>
        <w:spacing w:after="0"/>
        <w:tabs>
          <w:tab w:leader="none" w:pos="6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Yes, we expect to have an opportunity to introduce the new board members to our stockholders in the future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CURRENT STOCKHOLDERS:</w:t>
      </w:r>
    </w:p>
    <w:p>
      <w:pPr>
        <w:spacing w:after="0" w:line="22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Will stockholders get the same number of shares in the new company as they currently hold?</w:t>
      </w:r>
    </w:p>
    <w:p>
      <w:pPr>
        <w:spacing w:after="0" w:line="229" w:lineRule="exact"/>
        <w:rPr>
          <w:rFonts w:ascii="Arial" w:cs="Arial" w:eastAsia="Arial" w:hAnsi="Arial"/>
          <w:sz w:val="18"/>
          <w:szCs w:val="18"/>
          <w:b w:val="1"/>
          <w:bCs w:val="1"/>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 each share that you hold will be automatically cancelled and converted into a number of shares of the new company based on an equity value of $300 million and based on a conversion rate of $10.10. The total number of shares of the new company expected to be issued to the current SAB stockholders and optionholders is 29,702,970 shares, based on current estimates.</w:t>
      </w:r>
    </w:p>
    <w:p>
      <w:pPr>
        <w:spacing w:after="0" w:line="17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this impact me as a stockholder?</w:t>
      </w:r>
    </w:p>
    <w:p>
      <w:pPr>
        <w:spacing w:after="0" w:line="229"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SAB investors, this transaction (post-closing) is intended to allow you to have a choice as to when and whether to sell some, all or none of your shares. This of course is a big advantage of being a public company. There also is the possibility that the value of the shares will increase over time, as we strive to build value in SAB. (However, as with any company, shares could also decrease in value.) You also are expected to be able to purchase additional shares in the public market.</w:t>
      </w:r>
    </w:p>
    <w:p>
      <w:pPr>
        <w:spacing w:after="0" w:line="182"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opportunity does this present for SAB and its stockholders that they would not have otherwise?</w:t>
      </w:r>
    </w:p>
    <w:p>
      <w:pPr>
        <w:spacing w:after="0" w:line="229" w:lineRule="exact"/>
        <w:rPr>
          <w:rFonts w:ascii="Arial" w:cs="Arial" w:eastAsia="Arial" w:hAnsi="Arial"/>
          <w:sz w:val="18"/>
          <w:szCs w:val="18"/>
          <w:b w:val="1"/>
          <w:bCs w:val="1"/>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addition to expected access to larger amounts of funding, some benefits of going public generally include providing more liquidity for our stockholders since shares will be traded through a public market and potentially enhanced credibility and visibility for the company with the public.</w:t>
      </w:r>
    </w:p>
    <w:p>
      <w:pPr>
        <w:spacing w:after="0" w:line="183" w:lineRule="exact"/>
        <w:rPr>
          <w:rFonts w:ascii="Arial" w:cs="Arial" w:eastAsia="Arial" w:hAnsi="Arial"/>
          <w:sz w:val="18"/>
          <w:szCs w:val="18"/>
          <w:color w:val="auto"/>
        </w:rPr>
      </w:pPr>
    </w:p>
    <w:p>
      <w:pPr>
        <w:ind w:left="660" w:hanging="283"/>
        <w:spacing w:after="0" w:line="277" w:lineRule="auto"/>
        <w:tabs>
          <w:tab w:leader="none" w:pos="6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We expect that being public provide us with the funding needed to grow and create value from our DiversitAbTM platform and our pipeline of therapeutic candidates.</w:t>
      </w:r>
    </w:p>
    <w:p>
      <w:pPr>
        <w:spacing w:after="0" w:line="170" w:lineRule="exact"/>
        <w:rPr>
          <w:rFonts w:ascii="Arial" w:cs="Arial" w:eastAsia="Arial" w:hAnsi="Arial"/>
          <w:sz w:val="18"/>
          <w:szCs w:val="18"/>
          <w:color w:val="auto"/>
        </w:rPr>
      </w:pPr>
    </w:p>
    <w:p>
      <w:pPr>
        <w:ind w:left="660" w:hanging="283"/>
        <w:spacing w:after="0"/>
        <w:tabs>
          <w:tab w:leader="none" w:pos="6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It is also a potential opportunity for each of us to participate financially in the collective success of SAB.</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SAB BIOTHERAPEUTICS, INC. – STOCKHOLDER Q&amp;A – NOT FOR DISTRIBUTION</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688" w:right="339" w:bottom="1440" w:gutter="0" w:footer="0" w:header="0"/>
        </w:sectPr>
      </w:pPr>
    </w:p>
    <w:bookmarkStart w:id="4" w:name="page5"/>
    <w:bookmarkEnd w:id="4"/>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As a current stockholder of SAB, should I buy Big Cypress stock?</w:t>
      </w:r>
    </w:p>
    <w:p>
      <w:pPr>
        <w:spacing w:after="0" w:line="229" w:lineRule="exact"/>
        <w:rPr>
          <w:rFonts w:ascii="Arial" w:cs="Arial" w:eastAsia="Arial" w:hAnsi="Arial"/>
          <w:sz w:val="18"/>
          <w:szCs w:val="18"/>
          <w:b w:val="1"/>
          <w:bCs w:val="1"/>
          <w:color w:val="auto"/>
        </w:rPr>
      </w:pPr>
    </w:p>
    <w:p>
      <w:pPr>
        <w:jc w:val="both"/>
        <w:ind w:left="660" w:hanging="283"/>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decision is completely up to you and as with any investment decision, you may want to consult your financial advisor. You may not buy Big Cypress stock if you have knowledge of any material non-public information regarding Big Cypress or SAB at the time of the purchase. Please refer to Exhibit A for definitions of “materiality” and “non-public.”</w:t>
      </w:r>
    </w:p>
    <w:p>
      <w:pPr>
        <w:spacing w:after="0" w:line="179"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Will there be any other business changes anticipated besides the Board?</w:t>
      </w:r>
    </w:p>
    <w:p>
      <w:pPr>
        <w:spacing w:after="0" w:line="229" w:lineRule="exact"/>
        <w:rPr>
          <w:rFonts w:ascii="Arial" w:cs="Arial" w:eastAsia="Arial" w:hAnsi="Arial"/>
          <w:sz w:val="18"/>
          <w:szCs w:val="18"/>
          <w:b w:val="1"/>
          <w:bCs w:val="1"/>
          <w:color w:val="auto"/>
        </w:rPr>
      </w:pPr>
    </w:p>
    <w:p>
      <w:pPr>
        <w:ind w:left="660" w:hanging="283"/>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There are none planned at this time, however as with any on-going operating Company changes are made from time to time at the direction of management and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TRANSACTION RELATED:</w:t>
      </w:r>
    </w:p>
    <w:p>
      <w:pPr>
        <w:spacing w:after="0" w:line="221" w:lineRule="exact"/>
        <w:rPr>
          <w:sz w:val="20"/>
          <w:szCs w:val="20"/>
          <w:color w:val="auto"/>
        </w:rPr>
      </w:pPr>
    </w:p>
    <w:p>
      <w:pPr>
        <w:ind w:right="3380" w:firstLine="8"/>
        <w:spacing w:after="0" w:line="503" w:lineRule="auto"/>
        <w:tabs>
          <w:tab w:leader="none" w:pos="17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your plans for future capital raises? How long do you expect your current cash on hand to support operations?</w:t>
      </w:r>
    </w:p>
    <w:p>
      <w:pPr>
        <w:ind w:left="660" w:hanging="283"/>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Big Cypress has about $100 million in cash to be deployed (excluding any redemptions).</w:t>
      </w:r>
    </w:p>
    <w:p>
      <w:pPr>
        <w:spacing w:after="0" w:line="225" w:lineRule="exact"/>
        <w:rPr>
          <w:rFonts w:ascii="Arial" w:cs="Arial" w:eastAsia="Arial" w:hAnsi="Arial"/>
          <w:sz w:val="18"/>
          <w:szCs w:val="18"/>
          <w:color w:val="auto"/>
        </w:rPr>
      </w:pPr>
    </w:p>
    <w:p>
      <w:pPr>
        <w:ind w:left="660" w:hanging="283"/>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completion of the transaction, we expect to have ~$118 million pro-forma cash (excluding any redemptions), which we expect will support company operations through the end of 2023.</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expected post-merger valuation? What will be the pro-forma stockholder breakdown?</w:t>
      </w:r>
    </w:p>
    <w:p>
      <w:pPr>
        <w:spacing w:after="0" w:line="229" w:lineRule="exact"/>
        <w:rPr>
          <w:rFonts w:ascii="Arial" w:cs="Arial" w:eastAsia="Arial" w:hAnsi="Arial"/>
          <w:sz w:val="18"/>
          <w:szCs w:val="18"/>
          <w:b w:val="1"/>
          <w:bCs w:val="1"/>
          <w:color w:val="auto"/>
        </w:rPr>
      </w:pPr>
    </w:p>
    <w:p>
      <w:pPr>
        <w:ind w:left="660" w:right="20" w:hanging="283"/>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SAB is presently expected to have an implied post-merger enterprise value of roughly $325 million, although such value is subject to fluctuation based on the market price of the stock following closing.</w:t>
      </w:r>
    </w:p>
    <w:p>
      <w:pPr>
        <w:spacing w:after="0" w:line="170" w:lineRule="exact"/>
        <w:rPr>
          <w:rFonts w:ascii="Arial" w:cs="Arial" w:eastAsia="Arial" w:hAnsi="Arial"/>
          <w:sz w:val="18"/>
          <w:szCs w:val="18"/>
          <w:color w:val="auto"/>
        </w:rPr>
      </w:pPr>
    </w:p>
    <w:p>
      <w:pPr>
        <w:ind w:left="660" w:hanging="283"/>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Immediately following the closing of the merger transaction, the stockholder composition is presently expected to be 68% SAB rollover stockholders, 26% public stockholders, and 6% SPAC sponsors.</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lockup expiration for current Big Cypress sponsors?</w:t>
      </w:r>
    </w:p>
    <w:p>
      <w:pPr>
        <w:spacing w:after="0" w:line="229" w:lineRule="exact"/>
        <w:rPr>
          <w:rFonts w:ascii="Arial" w:cs="Arial" w:eastAsia="Arial" w:hAnsi="Arial"/>
          <w:sz w:val="18"/>
          <w:szCs w:val="18"/>
          <w:b w:val="1"/>
          <w:bCs w:val="1"/>
          <w:color w:val="auto"/>
        </w:rPr>
      </w:pPr>
    </w:p>
    <w:p>
      <w:pPr>
        <w:ind w:left="660" w:hanging="283"/>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180 days from closing.</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the Board composition look like post-merger?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provides that the Board will be comprised of seven people:</w:t>
      </w:r>
    </w:p>
    <w:p>
      <w:pPr>
        <w:spacing w:after="0" w:line="225" w:lineRule="exact"/>
        <w:rPr>
          <w:sz w:val="20"/>
          <w:szCs w:val="20"/>
          <w:color w:val="auto"/>
        </w:rPr>
      </w:pPr>
    </w:p>
    <w:p>
      <w:pPr>
        <w:ind w:left="660" w:hanging="28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Five selected by the current SAB Board of directors.</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Two selected by Big Cypress (Samuel J. Reich, Jeffrey G. Spragens).</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Eddie Hamilton is expected to transition to a board observer role and remain active in the Company.</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Samuel Reich is expected serve as executive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Is the Company aware of postings related to BCYP investigations and potential lawsuits?</w:t>
      </w:r>
    </w:p>
    <w:p>
      <w:pPr>
        <w:spacing w:after="0" w:line="229" w:lineRule="exact"/>
        <w:rPr>
          <w:rFonts w:ascii="Arial" w:cs="Arial" w:eastAsia="Arial" w:hAnsi="Arial"/>
          <w:sz w:val="18"/>
          <w:szCs w:val="18"/>
          <w:b w:val="1"/>
          <w:bCs w:val="1"/>
          <w:color w:val="auto"/>
        </w:rPr>
      </w:pPr>
    </w:p>
    <w:p>
      <w:pPr>
        <w:ind w:left="660" w:right="20" w:hanging="283"/>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Yes, the company is aware of such postings. They are well-known to be a common occurrence following nearly every merger transaction of a SPAC.</w:t>
      </w:r>
    </w:p>
    <w:p>
      <w:pPr>
        <w:spacing w:after="0" w:line="170" w:lineRule="exact"/>
        <w:rPr>
          <w:rFonts w:ascii="Arial" w:cs="Arial" w:eastAsia="Arial" w:hAnsi="Arial"/>
          <w:sz w:val="18"/>
          <w:szCs w:val="18"/>
          <w:color w:val="auto"/>
        </w:rPr>
      </w:pPr>
    </w:p>
    <w:p>
      <w:pPr>
        <w:jc w:val="both"/>
        <w:ind w:left="660" w:hanging="283"/>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addition, while in the postings certain plaintiffs’ law firms state they are “investigating” the proposed transaction and seeking to sign up clients, in the absence of credible complaints, we believe that the claims suggested in the postings are entirely without merit. In fact, we believe that if the law firms actually conduct an “investigation” they will come to the same conclusion.</w:t>
      </w:r>
    </w:p>
    <w:p>
      <w:pPr>
        <w:spacing w:after="0" w:line="179" w:lineRule="exact"/>
        <w:rPr>
          <w:rFonts w:ascii="Arial" w:cs="Arial" w:eastAsia="Arial" w:hAnsi="Arial"/>
          <w:sz w:val="18"/>
          <w:szCs w:val="18"/>
          <w:color w:val="auto"/>
        </w:rPr>
      </w:pPr>
    </w:p>
    <w:p>
      <w:pPr>
        <w:ind w:right="20" w:firstLine="8"/>
        <w:spacing w:after="0" w:line="282" w:lineRule="auto"/>
        <w:tabs>
          <w:tab w:leader="none" w:pos="21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Big Cypress announced a Confidential Submission of S-4 Registration Statement related to its proposed business combination with SAB Biotherapeutics, what does this mean?</w:t>
      </w:r>
    </w:p>
    <w:p>
      <w:pPr>
        <w:spacing w:after="0" w:line="165" w:lineRule="exact"/>
        <w:rPr>
          <w:rFonts w:ascii="Arial" w:cs="Arial" w:eastAsia="Arial" w:hAnsi="Arial"/>
          <w:sz w:val="18"/>
          <w:szCs w:val="18"/>
          <w:b w:val="1"/>
          <w:bCs w:val="1"/>
          <w:color w:val="auto"/>
        </w:rPr>
      </w:pPr>
    </w:p>
    <w:p>
      <w:pPr>
        <w:jc w:val="both"/>
        <w:ind w:left="660" w:hanging="283"/>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transaction is presently progressing quickly. By filing a submission now, we are hoping to initiate a review of the Registration Statement by the SEC sooner than later. In order to file at this time, a confidential submission was necessary. However, the submission is expected to become available to the public in about a month.</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SAB BIOTHERAPEUTICS, INC. – STOCKHOLDER Q&amp;A – NOT FOR DISTRIBUTION</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SAB and their respective directors, executive officers, other members of management, and employees, under SEC rules, may be deemed to be participants in the solicitation of proxies of the Company’s stockholders in connection with the Business Combination. Investors and stockholders may obtain more detailed information regarding the names and interests in the Business Combination of the Company’s directors and officers in the Company’s filings with the SEC including the Registration Statement to be filed with the SEC by the Company, which will include the proxy statement of the Company for the Business Combination. The names of SAB’s directors and executive officers will also be in the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Certain statements made herein that are not historical facts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but are not limited to, statements regarding future events, the Business Combination between the Company and SAB,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and SAB. These statements are subject to a number of risks and uncertainties regarding the Company’s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stockholders of the Company or SAB for the potential transaction is not obtained; failure to realize the anticipated benefits of the Business Combination, including as a result of a delay in consummating the potential transaction or difficulty in integrating the businesses of the Company or SAB;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the Company’s stockholders; the inability to obtain or maintain the listing of the post-acquisition company’s securities on Nasdaq following the Business Combination; costs related to the Business Combination; and those factors discussed in the Company’s final prospectus relating to its initial public offering, dated January 11, 2021, and filed with the SEC on January 12, 2021, in the Company’s Annual Report on Form 10-K for the fiscal year ended December 31, 2020, filed with the SEC on April 2, 2021, in the Company’s Quarterly Report on Form 10-Q for the period ended March 31, 2021, filed with the SEC on May 21, 2021, and other filings with the SEC. If any of these risks materialize or if assumptions prove incorrect, actual results could differ materially from the results implied by these forward-looking statements. There may be additional risks that the Company presently does not know or that the Company currently believes are immaterial that could also cause actual results to differ from those contained in the forward-looking statements. In addition, forward-looking statements provide the Company’s expectations, plans or forecasts of future events and views as of the date of this communication.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Disclaimer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of securities in any jurisdiction in contravention of applicable law. No offer of securities shall be made except by means of a prospectus meeting the requirements of Section 10 of the Securities Act.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SAB BIOTHERAPEUTICS, INC. – STOCKHOLDER Q&amp;A – NOT FOR DISTRIBUTION</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pacing w:after="0" w:line="1" w:lineRule="exact"/>
        <w:rPr>
          <w:sz w:val="20"/>
          <w:szCs w:val="20"/>
          <w:color w:val="auto"/>
        </w:rPr>
      </w:pP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6"/>
    </w:lvl>
    <w:lvl w:ilvl="1">
      <w:lvlJc w:val="left"/>
      <w:lvlText w:val="●"/>
      <w:numFmt w:val="bullet"/>
      <w:start w:val="1"/>
    </w:lvl>
    <w:lvl w:ilvl="2">
      <w:lvlJc w:val="left"/>
      <w:lvlText w:val="●"/>
      <w:numFmt w:val="bullet"/>
      <w:start w:val="1"/>
    </w:lvl>
  </w:abstractNum>
  <w:abstractNum w:abstractNumId="3">
    <w:nsid w:val="12200854"/>
    <w:multiLevelType w:val="hybridMultilevel"/>
    <w:lvl w:ilvl="0">
      <w:lvlJc w:val="left"/>
      <w:lvlText w:val="%1."/>
      <w:numFmt w:val="decimal"/>
      <w:start w:val="7"/>
    </w:lvl>
    <w:lvl w:ilvl="1">
      <w:lvlJc w:val="left"/>
      <w:lvlText w:val="●"/>
      <w:numFmt w:val="bullet"/>
      <w:start w:val="1"/>
    </w:lvl>
  </w:abstractNum>
  <w:abstractNum w:abstractNumId="4">
    <w:nsid w:val="4DB127F8"/>
    <w:multiLevelType w:val="hybridMultilevel"/>
    <w:lvl w:ilvl="0">
      <w:lvlJc w:val="left"/>
      <w:lvlText w:val="%1."/>
      <w:numFmt w:val="decimal"/>
      <w:start w:val="1"/>
    </w:lvl>
    <w:lvl w:ilvl="1">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3"/>
    </w:lvl>
    <w:lvl w:ilvl="1">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9">
    <w:nsid w:val="140E0F76"/>
    <w:multiLevelType w:val="hybridMultilevel"/>
    <w:lvl w:ilvl="0">
      <w:lvlJc w:val="left"/>
      <w:lvlText w:val="%1."/>
      <w:numFmt w:val="decimal"/>
      <w:start w:val="7"/>
    </w:lvl>
    <w:lvl w:ilvl="1">
      <w:lvlJc w:val="left"/>
      <w:lvlText w:val="●"/>
      <w:numFmt w:val="bullet"/>
      <w:start w:val="1"/>
    </w:lvl>
    <w:lvl w:ilvl="2">
      <w:lvlJc w:val="left"/>
      <w:lvlText w:val="●"/>
      <w:numFmt w:val="bullet"/>
      <w:start w:val="1"/>
    </w:lvl>
  </w:abstractNum>
  <w:abstractNum w:abstractNumId="10">
    <w:nsid w:val="3352255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1">
    <w:nsid w:val="109CF92E"/>
    <w:multiLevelType w:val="hybridMultilevel"/>
    <w:lvl w:ilvl="0">
      <w:lvlJc w:val="left"/>
      <w:lvlText w:val="%1."/>
      <w:numFmt w:val="decimal"/>
      <w:start w:val="4"/>
    </w:lvl>
    <w:lvl w:ilvl="1">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2021-07-21T05:15:14Z</dcterms:created>
  <dcterms:modified xsi:type="dcterms:W3CDTF">2021-07-21T05:15:14Z</dcterms:modified>
</cp:coreProperties>
</file>