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5,455,355.00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5,455,355.00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5,455,355.00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1,180,355 shares of Common Stock (as defined in Item 2(a)), (ii) 2,850,000 shares of Common Stock issuable upon conversion of 28,500 shares of Series B preferred stock (the "Series B Preferred Stock") underlying 28,500 enrollment warrants (the "Enrollment Warrants") and (iii) 1,425,000 shares of Common Stock issuable upon conversion of 14,250 shares of Series B Preferred Stock underlying 14,250 data release warrants (the "Data Release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33140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(the "Woodline Fund"), with respect to the shares of common stock, par value $0.0001 per share ("Common Stock"), of SAB Biotherapeutics, Inc. (the "Company"), and shares of Common Stock issuable upon the conversion of Series B Preferred Stock issuable upon the exercise of the Data Release Warrants and Enrollment Warrants, directly held by the Woodline Fund. The filing of this statement should not be construed as an admission that any of the foregoing persons or the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76,464,094 shares of Common Stock outstanding as of May 6, 2026, as reported in the Company's Quarterly Report on Form 10-Q for the quarterly period ended March 31, 2026, filed with the Securities and Exchange Commission on May 12, 2026, and assumes the conversion of the Series B Preferred Stock issuable upon the exercise of the Enrollment Warrants and the Data Release Warrants held by the Woodline Fund.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Woodline Fund has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1291</Words>
  <Characters>6563</Characters>
  <CharactersWithSpaces>7844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