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SAB Biotherapeutics,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04/24/2026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Millennium Management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tabs>
          <w:tab w:leader="none" w:pos="138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1"/>
          <w:szCs w:val="21"/>
          <w:color w:val="auto"/>
        </w:rPr>
        <w:t>Sole Voting Power</w:t>
      </w:r>
    </w:p>
    <w:p>
      <w:pPr>
        <w:spacing w:after="0" w:line="181" w:lineRule="auto"/>
        <w:tabs>
          <w:tab w:leader="none" w:pos="1140" w:val="left"/>
        </w:tabs>
        <w:rPr>
          <w:sz w:val="20"/>
          <w:szCs w:val="20"/>
          <w:color w:val="auto"/>
        </w:rPr>
      </w:pPr>
      <w:r>
        <w:rPr>
          <w:rFonts w:ascii="Times New Roman" w:cs="Times New Roman" w:eastAsia="Times New Roman" w:hAnsi="Times New Roman"/>
          <w:sz w:val="16"/>
          <w:szCs w:val="16"/>
          <w:color w:val="auto"/>
        </w:rPr>
        <w:t>Shares</w:t>
      </w:r>
      <w:r>
        <w:rPr>
          <w:sz w:val="20"/>
          <w:szCs w:val="20"/>
          <w:color w:val="auto"/>
        </w:rPr>
        <w:tab/>
      </w:r>
      <w:r>
        <w:rPr>
          <w:rFonts w:ascii="Times New Roman" w:cs="Times New Roman" w:eastAsia="Times New Roman" w:hAnsi="Times New Roman"/>
          <w:sz w:val="28"/>
          <w:szCs w:val="28"/>
          <w:color w:val="auto"/>
          <w:vertAlign w:val="subscript"/>
        </w:rPr>
        <w:t>5</w:t>
      </w:r>
    </w:p>
    <w:p>
      <w:pPr>
        <w:spacing w:after="0" w:line="184" w:lineRule="auto"/>
        <w:tabs>
          <w:tab w:leader="none" w:pos="1380" w:val="left"/>
        </w:tabs>
        <w:rPr>
          <w:sz w:val="20"/>
          <w:szCs w:val="20"/>
          <w:color w:val="auto"/>
        </w:rPr>
      </w:pPr>
      <w:r>
        <w:rPr>
          <w:rFonts w:ascii="Times New Roman" w:cs="Times New Roman" w:eastAsia="Times New Roman" w:hAnsi="Times New Roman"/>
          <w:sz w:val="18"/>
          <w:szCs w:val="18"/>
          <w:color w:val="auto"/>
        </w:rPr>
        <w:t>Beneficially</w:t>
      </w:r>
      <w:r>
        <w:rPr>
          <w:sz w:val="20"/>
          <w:szCs w:val="20"/>
          <w:color w:val="auto"/>
        </w:rPr>
        <w:tab/>
      </w:r>
      <w:r>
        <w:rPr>
          <w:rFonts w:ascii="Times New Roman" w:cs="Times New Roman" w:eastAsia="Times New Roman" w:hAnsi="Times New Roman"/>
          <w:sz w:val="34"/>
          <w:szCs w:val="34"/>
          <w:color w:val="auto"/>
          <w:vertAlign w:val="subscript"/>
        </w:rPr>
        <w:t>0.00</w:t>
      </w:r>
    </w:p>
    <w:p>
      <w:pPr>
        <w:sectPr>
          <w:pgSz w:w="11900" w:h="16838" w:orient="portrait"/>
          <w:cols w:equalWidth="0" w:num="1">
            <w:col w:w="10099"/>
          </w:cols>
          <w:pgMar w:left="360" w:top="866" w:right="1440"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3,432,153.00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3,432,153.00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3,432,153.00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5.1 %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Millennium Group Management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0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3,432,153.00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3,432,153.00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3,432,153.00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5.1 %</w:t>
      </w:r>
    </w:p>
    <w:p>
      <w:pPr>
        <w:sectPr>
          <w:pgSz w:w="11900" w:h="16838" w:orient="portrait"/>
          <w:cols w:equalWidth="0" w:num="2">
            <w:col w:w="1060" w:space="60"/>
            <w:col w:w="8979"/>
          </w:cols>
          <w:pgMar w:left="360" w:top="102" w:right="1440" w:bottom="0" w:gutter="0" w:footer="0" w:header="0"/>
          <w:type w:val="continuous"/>
        </w:sectPr>
      </w:pPr>
    </w:p>
    <w:bookmarkStart w:id="2" w:name="page3"/>
    <w:bookmarkEnd w:id="2"/>
    <w:p>
      <w:pPr>
        <w:ind w:left="1120" w:hanging="1112"/>
        <w:spacing w:after="0"/>
        <w:tabs>
          <w:tab w:leader="none" w:pos="11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rFonts w:ascii="Times New Roman" w:cs="Times New Roman" w:eastAsia="Times New Roman" w:hAnsi="Times New Roman"/>
          <w:sz w:val="22"/>
          <w:szCs w:val="22"/>
          <w:color w:val="auto"/>
        </w:rPr>
      </w:pPr>
    </w:p>
    <w:p>
      <w:pPr>
        <w:ind w:left="11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Israel A. Englander</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46"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3,432,153.00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3,432,153.00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3,432,153.00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8979"/>
          </w:cols>
          <w:pgMar w:left="360" w:top="111" w:right="1440" w:bottom="46"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SAB Biotherapeutics,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jc w:val="right"/>
        <w:ind w:right="4079"/>
        <w:spacing w:after="0"/>
        <w:rPr>
          <w:sz w:val="20"/>
          <w:szCs w:val="20"/>
          <w:color w:val="auto"/>
        </w:rPr>
      </w:pPr>
      <w:r>
        <w:rPr>
          <w:rFonts w:ascii="Times New Roman" w:cs="Times New Roman" w:eastAsia="Times New Roman" w:hAnsi="Times New Roman"/>
          <w:sz w:val="22"/>
          <w:szCs w:val="22"/>
          <w:color w:val="auto"/>
        </w:rPr>
        <w:t>777 W 41st Street, Suite 401, Miami Beach, Florida 33140</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of person filing:</w:t>
      </w:r>
    </w:p>
    <w:p>
      <w:pPr>
        <w:sectPr>
          <w:pgSz w:w="11900" w:h="16838" w:orient="portrait"/>
          <w:cols w:equalWidth="0" w:num="1">
            <w:col w:w="10099"/>
          </w:cols>
          <w:pgMar w:left="360" w:top="111" w:right="1440" w:bottom="46" w:gutter="0" w:footer="0" w:header="0"/>
          <w:type w:val="continuous"/>
        </w:sectPr>
      </w:pPr>
    </w:p>
    <w:bookmarkStart w:id="3" w:name="page4"/>
    <w:bookmarkEnd w:id="3"/>
    <w:p>
      <w:pPr>
        <w:spacing w:after="0" w:line="93" w:lineRule="exact"/>
        <w:rPr>
          <w:sz w:val="20"/>
          <w:szCs w:val="20"/>
          <w:color w:val="auto"/>
        </w:rPr>
      </w:pPr>
    </w:p>
    <w:p>
      <w:pPr>
        <w:ind w:left="920" w:right="2440"/>
        <w:spacing w:after="0" w:line="310" w:lineRule="auto"/>
        <w:rPr>
          <w:sz w:val="20"/>
          <w:szCs w:val="20"/>
          <w:color w:val="auto"/>
        </w:rPr>
      </w:pPr>
      <w:r>
        <w:rPr>
          <w:rFonts w:ascii="Times New Roman" w:cs="Times New Roman" w:eastAsia="Times New Roman" w:hAnsi="Times New Roman"/>
          <w:sz w:val="22"/>
          <w:szCs w:val="22"/>
          <w:color w:val="auto"/>
        </w:rPr>
        <w:t>Millennium Management LLC Millennium Group Management LLC Israel A. Englander Address or principal business office or, if none, residence:</w:t>
      </w:r>
    </w:p>
    <w:p>
      <w:pPr>
        <w:spacing w:after="0" w:line="130" w:lineRule="exact"/>
        <w:rPr>
          <w:sz w:val="20"/>
          <w:szCs w:val="20"/>
          <w:color w:val="auto"/>
        </w:rPr>
      </w:pPr>
    </w:p>
    <w:p>
      <w:pPr>
        <w:ind w:left="920" w:right="120" w:hanging="912"/>
        <w:spacing w:after="0" w:line="244"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Millennium Management LLC 399 Park Avenue New York, New York 10022 Millennium Group Management LLC 399 Park Avenue New York, New York 10022 Israel A. Englander c/o Millennium Management LLC 399 Park Avenue New York, New York 10022</w:t>
      </w:r>
    </w:p>
    <w:p>
      <w:pPr>
        <w:sectPr>
          <w:pgSz w:w="11900" w:h="16931" w:orient="portrait"/>
          <w:cols w:equalWidth="0" w:num="1">
            <w:col w:w="11100"/>
          </w:cols>
          <w:pgMar w:left="360" w:top="112" w:right="439" w:bottom="0" w:gutter="0" w:footer="0" w:header="0"/>
        </w:sect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ind w:right="300"/>
        <w:spacing w:after="0" w:line="256" w:lineRule="auto"/>
        <w:rPr>
          <w:sz w:val="20"/>
          <w:szCs w:val="20"/>
          <w:color w:val="auto"/>
        </w:rPr>
      </w:pPr>
      <w:r>
        <w:rPr>
          <w:rFonts w:ascii="Times New Roman" w:cs="Times New Roman" w:eastAsia="Times New Roman" w:hAnsi="Times New Roman"/>
          <w:sz w:val="22"/>
          <w:szCs w:val="22"/>
          <w:color w:val="auto"/>
        </w:rPr>
        <w:t>Millennium Management LLC - Delaware Millennium Group Management LLC - Delaware Israel A. Englander - United States</w:t>
      </w: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 par value $0.0001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right="640"/>
        <w:spacing w:after="0" w:line="258" w:lineRule="auto"/>
        <w:rPr>
          <w:sz w:val="20"/>
          <w:szCs w:val="20"/>
          <w:color w:val="auto"/>
        </w:rPr>
      </w:pPr>
      <w:r>
        <w:rPr>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980"/>
        <w:spacing w:after="0" w:line="241" w:lineRule="auto"/>
        <w:rPr>
          <w:sz w:val="20"/>
          <w:szCs w:val="20"/>
          <w:color w:val="auto"/>
        </w:rPr>
      </w:pPr>
      <w:r>
        <w:rPr>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sectPr>
          <w:pgSz w:w="11900" w:h="16931" w:orient="portrait"/>
          <w:cols w:equalWidth="0" w:num="2">
            <w:col w:w="620" w:space="300"/>
            <w:col w:w="10180"/>
          </w:cols>
          <w:pgMar w:left="360" w:top="112" w:right="439" w:bottom="0" w:gutter="0" w:footer="0" w:header="0"/>
          <w:type w:val="continuous"/>
        </w:sect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See response to Item 9 on each cover page.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response to Item 11 on each cover page. For each reporting person, the percent of the class reported herein as</w:t>
      </w:r>
    </w:p>
    <w:p>
      <w:pPr>
        <w:spacing w:after="0" w:line="14" w:lineRule="exact"/>
        <w:rPr>
          <w:sz w:val="20"/>
          <w:szCs w:val="20"/>
          <w:color w:val="auto"/>
        </w:rPr>
      </w:pPr>
    </w:p>
    <w:p>
      <w:pPr>
        <w:ind w:left="920" w:hanging="912"/>
        <w:spacing w:after="0" w:line="196" w:lineRule="auto"/>
        <w:tabs>
          <w:tab w:leader="none" w:pos="920" w:val="left"/>
        </w:tabs>
        <w:numPr>
          <w:ilvl w:val="0"/>
          <w:numId w:val="7"/>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beneficially owned by such reporting person gives effect to shares deemed to be outstanding as provided in Rule 13d-3(d)(1)(i), if any, presuming that all those warrants to purchase shares of the class reported herein that are held or otherwise controlled by any reporting person are exercisable within sixty days of the date hereof. The percent of class was calculated based on 66,934,576 shares of Common Stock outstanding as set forth in the issuer's prospectus supplement dated March 17, 2026, filed with the SEC pursuant to Rule 424(b)(5) on March 19, 2026. %</w:t>
      </w:r>
    </w:p>
    <w:p>
      <w:pPr>
        <w:spacing w:after="0" w:line="14" w:lineRule="exact"/>
        <w:rPr>
          <w:rFonts w:ascii="Times New Roman" w:cs="Times New Roman" w:eastAsia="Times New Roman" w:hAnsi="Times New Roman"/>
          <w:sz w:val="43"/>
          <w:szCs w:val="43"/>
          <w:color w:val="auto"/>
          <w:vertAlign w:val="subscript"/>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response to Item 5 on each cover page.</w:t>
      </w:r>
    </w:p>
    <w:p>
      <w:pPr>
        <w:spacing w:after="0" w:line="287" w:lineRule="exact"/>
        <w:rPr>
          <w:sz w:val="20"/>
          <w:szCs w:val="20"/>
          <w:color w:val="auto"/>
        </w:rPr>
      </w:pPr>
    </w:p>
    <w:p>
      <w:pPr>
        <w:ind w:left="920" w:right="6200" w:firstLine="6"/>
        <w:spacing w:after="0" w:line="509" w:lineRule="auto"/>
        <w:tabs>
          <w:tab w:leader="none" w:pos="1238" w:val="left"/>
        </w:tabs>
        <w:numPr>
          <w:ilvl w:val="0"/>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Shared power to vote or to direct the vote: See response to Item 6 on each cover page.</w:t>
      </w:r>
    </w:p>
    <w:p>
      <w:pPr>
        <w:spacing w:after="0" w:line="1" w:lineRule="exact"/>
        <w:rPr>
          <w:rFonts w:ascii="Times New Roman" w:cs="Times New Roman" w:eastAsia="Times New Roman" w:hAnsi="Times New Roman"/>
          <w:sz w:val="21"/>
          <w:szCs w:val="21"/>
          <w:color w:val="auto"/>
        </w:rPr>
      </w:pPr>
    </w:p>
    <w:p>
      <w:pPr>
        <w:ind w:left="920" w:right="5280" w:firstLine="6"/>
        <w:spacing w:after="0" w:line="486" w:lineRule="auto"/>
        <w:tabs>
          <w:tab w:leader="none" w:pos="1298"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See response to Item 7 on each cover page.</w:t>
      </w:r>
    </w:p>
    <w:p>
      <w:pPr>
        <w:spacing w:after="0" w:line="1"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sz w:val="20"/>
          <w:szCs w:val="20"/>
          <w:color w:val="auto"/>
        </w:rPr>
      </w:pPr>
    </w:p>
    <w:p>
      <w:pPr>
        <w:ind w:left="920" w:right="100"/>
        <w:spacing w:after="0" w:line="255" w:lineRule="auto"/>
        <w:rPr>
          <w:sz w:val="20"/>
          <w:szCs w:val="20"/>
          <w:color w:val="auto"/>
        </w:rPr>
      </w:pPr>
      <w:r>
        <w:rPr>
          <w:rFonts w:ascii="Times New Roman" w:cs="Times New Roman" w:eastAsia="Times New Roman" w:hAnsi="Times New Roman"/>
          <w:sz w:val="21"/>
          <w:szCs w:val="21"/>
          <w:color w:val="auto"/>
        </w:rPr>
        <w:t>See response to Item 8 on each cover page. The securities disclosed herein as potentially beneficially owned by Millennium Management LLC, Millennium Group Management LLC and Mr. Englander are held by entities subject to voting control and investment discretion by Millennium Management LLC and/or other investment managers that may be controlled by Millennium Group Management LLC (the managing member of Millennium Management</w:t>
      </w:r>
    </w:p>
    <w:p>
      <w:pPr>
        <w:sectPr>
          <w:pgSz w:w="11900" w:h="16931" w:orient="portrait"/>
          <w:cols w:equalWidth="0" w:num="1">
            <w:col w:w="11100"/>
          </w:cols>
          <w:pgMar w:left="360" w:top="112" w:right="439" w:bottom="0" w:gutter="0" w:footer="0" w:header="0"/>
          <w:type w:val="continuous"/>
        </w:sectPr>
      </w:pPr>
    </w:p>
    <w:bookmarkStart w:id="4" w:name="page5"/>
    <w:bookmarkEnd w:id="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jc w:val="both"/>
        <w:ind w:right="20"/>
        <w:spacing w:after="0" w:line="262" w:lineRule="auto"/>
        <w:rPr>
          <w:sz w:val="20"/>
          <w:szCs w:val="20"/>
          <w:color w:val="auto"/>
        </w:rPr>
      </w:pPr>
      <w:r>
        <w:rPr>
          <w:rFonts w:ascii="Times New Roman" w:cs="Times New Roman" w:eastAsia="Times New Roman" w:hAnsi="Times New Roman"/>
          <w:sz w:val="21"/>
          <w:szCs w:val="21"/>
          <w:color w:val="auto"/>
        </w:rPr>
        <w:t>LLC) and Mr. Englander (the sole voting trustee of the managing member of Millennium Group Management LLC). The foregoing should not be construed in and of itself as an admission by Millennium Management LLC, Millennium Group Management LLC or Mr. Englander as to beneficial ownership of the securities held by such entities.</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jc w:val="both"/>
        <w:ind w:right="20"/>
        <w:spacing w:after="0" w:line="244" w:lineRule="auto"/>
        <w:rPr>
          <w:sz w:val="20"/>
          <w:szCs w:val="20"/>
          <w:color w:val="auto"/>
        </w:rPr>
      </w:pPr>
      <w:r>
        <w:rPr>
          <w:rFonts w:ascii="Times New Roman" w:cs="Times New Roman" w:eastAsia="Times New Roman" w:hAnsi="Times New Roman"/>
          <w:sz w:val="22"/>
          <w:szCs w:val="22"/>
          <w:color w:val="auto"/>
        </w:rPr>
        <w:t>If a group has filed this schedule pursuant to §240.13d-1(b)(1)(ii)(K), so indicate under Item 3(k) and attach an exhibit stating the identity and Item 3 classification of each member of the group. If a group has filed this schedule pursuant to §240.13d-1(c) or §240.13d-1(d), attach an exhibit stating the identity of each member of the group.</w:t>
      </w:r>
    </w:p>
    <w:p>
      <w:pPr>
        <w:spacing w:after="0" w:line="200" w:lineRule="exact"/>
        <w:rPr>
          <w:sz w:val="20"/>
          <w:szCs w:val="20"/>
          <w:color w:val="auto"/>
        </w:rPr>
      </w:pPr>
    </w:p>
    <w:p>
      <w:pPr>
        <w:sectPr>
          <w:pgSz w:w="11900" w:h="16838" w:orient="portrait"/>
          <w:cols w:equalWidth="0" w:num="2">
            <w:col w:w="620" w:space="300"/>
            <w:col w:w="10220"/>
          </w:cols>
          <w:pgMar w:left="360" w:top="112" w:right="399" w:bottom="1440" w:gutter="0" w:footer="0" w:header="0"/>
        </w:sectPr>
      </w:pPr>
    </w:p>
    <w:p>
      <w:pPr>
        <w:spacing w:after="0" w:line="24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Exhibit I</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22"/>
          <w:szCs w:val="22"/>
          <w:color w:val="auto"/>
        </w:rPr>
        <w:t>Millennium Management LLC</w:t>
      </w:r>
    </w:p>
    <w:p>
      <w:pPr>
        <w:spacing w:after="0" w:line="152" w:lineRule="exact"/>
        <w:rPr>
          <w:sz w:val="20"/>
          <w:szCs w:val="20"/>
          <w:color w:val="auto"/>
        </w:rPr>
      </w:pPr>
    </w:p>
    <w:p>
      <w:pPr>
        <w:ind w:left="4320"/>
        <w:spacing w:after="0"/>
        <w:tabs>
          <w:tab w:leader="none" w:pos="53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Gil Raviv</w:t>
      </w:r>
    </w:p>
    <w:p>
      <w:pPr>
        <w:spacing w:after="0" w:line="44"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2"/>
          <w:szCs w:val="22"/>
          <w:color w:val="auto"/>
        </w:rPr>
        <w:t>Name/Title: Gil Raviv, Global General Counsel</w:t>
      </w:r>
    </w:p>
    <w:p>
      <w:pPr>
        <w:spacing w:after="0" w:line="44" w:lineRule="exact"/>
        <w:rPr>
          <w:sz w:val="20"/>
          <w:szCs w:val="20"/>
          <w:color w:val="auto"/>
        </w:rPr>
      </w:pPr>
    </w:p>
    <w:p>
      <w:pPr>
        <w:ind w:left="4320"/>
        <w:spacing w:after="0"/>
        <w:tabs>
          <w:tab w:leader="none" w:pos="53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04/30/2026</w:t>
      </w:r>
    </w:p>
    <w:p>
      <w:pPr>
        <w:spacing w:after="0" w:line="152"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2"/>
          <w:szCs w:val="22"/>
          <w:color w:val="auto"/>
        </w:rPr>
        <w:t>Millennium Group Management LLC</w:t>
      </w:r>
    </w:p>
    <w:p>
      <w:pPr>
        <w:spacing w:after="0" w:line="152" w:lineRule="exact"/>
        <w:rPr>
          <w:sz w:val="20"/>
          <w:szCs w:val="20"/>
          <w:color w:val="auto"/>
        </w:rPr>
      </w:pPr>
    </w:p>
    <w:p>
      <w:pPr>
        <w:ind w:left="4320"/>
        <w:spacing w:after="0"/>
        <w:tabs>
          <w:tab w:leader="none" w:pos="53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Gil Raviv</w:t>
      </w:r>
    </w:p>
    <w:p>
      <w:pPr>
        <w:spacing w:after="0" w:line="44"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2"/>
          <w:szCs w:val="22"/>
          <w:color w:val="auto"/>
        </w:rPr>
        <w:t>Name/Title: Gil Raviv, Global General Counsel</w:t>
      </w:r>
    </w:p>
    <w:p>
      <w:pPr>
        <w:spacing w:after="0" w:line="44" w:lineRule="exact"/>
        <w:rPr>
          <w:sz w:val="20"/>
          <w:szCs w:val="20"/>
          <w:color w:val="auto"/>
        </w:rPr>
      </w:pPr>
    </w:p>
    <w:p>
      <w:pPr>
        <w:ind w:left="4320"/>
        <w:spacing w:after="0"/>
        <w:tabs>
          <w:tab w:leader="none" w:pos="53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04/30/2026</w:t>
      </w:r>
    </w:p>
    <w:p>
      <w:pPr>
        <w:spacing w:after="0" w:line="152"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22"/>
          <w:szCs w:val="22"/>
          <w:color w:val="auto"/>
        </w:rPr>
        <w:t>Israel A. Englander</w:t>
      </w:r>
    </w:p>
    <w:p>
      <w:pPr>
        <w:spacing w:after="0" w:line="152" w:lineRule="exact"/>
        <w:rPr>
          <w:sz w:val="20"/>
          <w:szCs w:val="20"/>
          <w:color w:val="auto"/>
        </w:rPr>
      </w:pPr>
    </w:p>
    <w:p>
      <w:pPr>
        <w:ind w:left="3220"/>
        <w:spacing w:after="0"/>
        <w:tabs>
          <w:tab w:leader="none" w:pos="43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Israel A. Englander</w:t>
      </w:r>
    </w:p>
    <w:p>
      <w:pPr>
        <w:spacing w:after="0" w:line="44"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22"/>
          <w:szCs w:val="22"/>
          <w:color w:val="auto"/>
        </w:rPr>
        <w:t>Name/Title: Israel A. Englander</w:t>
      </w:r>
    </w:p>
    <w:p>
      <w:pPr>
        <w:spacing w:after="0" w:line="44" w:lineRule="exact"/>
        <w:rPr>
          <w:sz w:val="20"/>
          <w:szCs w:val="20"/>
          <w:color w:val="auto"/>
        </w:rPr>
      </w:pPr>
    </w:p>
    <w:p>
      <w:pPr>
        <w:ind w:left="3220"/>
        <w:spacing w:after="0"/>
        <w:tabs>
          <w:tab w:leader="none" w:pos="43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04/30/2026</w:t>
      </w:r>
    </w:p>
    <w:p>
      <w:pPr>
        <w:spacing w:after="0" w:line="1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22"/>
          <w:szCs w:val="22"/>
          <w:color w:val="auto"/>
        </w:rPr>
        <w:t>Exhibit I: Joint Filing Agreement, dated as of April 30, 2026, by and among Millennium Management LLC, Millennium Group Management LLC and Israel A. Englander.</w:t>
      </w:r>
    </w:p>
    <w:p>
      <w:pPr>
        <w:sectPr>
          <w:pgSz w:w="11900" w:h="16838" w:orient="portrait"/>
          <w:cols w:equalWidth="0" w:num="1">
            <w:col w:w="11140"/>
          </w:cols>
          <w:pgMar w:left="360" w:top="112" w:right="399" w:bottom="1440" w:gutter="0" w:footer="0" w:header="0"/>
          <w:type w:val="continuous"/>
        </w:sectPr>
      </w:pPr>
    </w:p>
    <w:bookmarkStart w:id="5" w:name="page6"/>
    <w:bookmarkEnd w:id="5"/>
    <w:p>
      <w:pPr>
        <w:jc w:val="center"/>
        <w:ind w:right="-119"/>
        <w:spacing w:after="0"/>
        <w:rPr>
          <w:sz w:val="20"/>
          <w:szCs w:val="20"/>
          <w:color w:val="auto"/>
        </w:rPr>
      </w:pPr>
      <w:r>
        <w:rPr>
          <w:rFonts w:ascii="Times New Roman" w:cs="Times New Roman" w:eastAsia="Times New Roman" w:hAnsi="Times New Roman"/>
          <w:sz w:val="18"/>
          <w:szCs w:val="18"/>
          <w:color w:val="auto"/>
        </w:rPr>
        <w:t>EXHIBIT I</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JOINT FILING AGREEMENT</w:t>
      </w:r>
    </w:p>
    <w:p>
      <w:pPr>
        <w:spacing w:after="0" w:line="22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This will confirm the agreement by and among the undersigned that the Schedule 13G filed with the Securities and Exchange Commission on or about the date hereof with respect to the beneficial ownership by the undersigned of the Common Stock, par value $0.0001 per share, of SAB Biotherapeutics, Inc. will be filed on behalf of each of the persons and entities named below in accordance with Rule 13d-1(k) under the Securities Exchange Act of 1934, as amended. This Agreement may be executed in two or more counterparts, each of which shall be deemed an original, but all of which together shall constitute one and the same instrument.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April 30, 2026</w:t>
      </w:r>
    </w:p>
    <w:p>
      <w:pPr>
        <w:spacing w:after="0" w:line="252"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MILLENNIUM MANAGEMENT LLC</w:t>
      </w:r>
    </w:p>
    <w:p>
      <w:pPr>
        <w:spacing w:after="0" w:line="225"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By: /s/ 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3841750</wp:posOffset>
            </wp:positionH>
            <wp:positionV relativeFrom="paragraph">
              <wp:posOffset>-7620</wp:posOffset>
            </wp:positionV>
            <wp:extent cx="101219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012190" cy="8255"/>
                    </a:xfrm>
                    <a:prstGeom prst="rect">
                      <a:avLst/>
                    </a:prstGeom>
                    <a:noFill/>
                  </pic:spPr>
                </pic:pic>
              </a:graphicData>
            </a:graphic>
          </wp:anchor>
        </w:drawing>
      </w:r>
    </w:p>
    <w:p>
      <w:pPr>
        <w:spacing w:after="0" w:line="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Name: Gil Raviv</w:t>
      </w:r>
    </w:p>
    <w:p>
      <w:pPr>
        <w:spacing w:after="0" w:line="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Title: Global General Counsel</w:t>
      </w:r>
    </w:p>
    <w:p>
      <w:pPr>
        <w:spacing w:after="0" w:line="200" w:lineRule="exact"/>
        <w:rPr>
          <w:sz w:val="20"/>
          <w:szCs w:val="20"/>
          <w:color w:val="auto"/>
        </w:rPr>
      </w:pPr>
    </w:p>
    <w:p>
      <w:pPr>
        <w:spacing w:after="0" w:line="22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MILLENNIUM GROUP MANAGEMENT LLC</w:t>
      </w:r>
    </w:p>
    <w:p>
      <w:pPr>
        <w:spacing w:after="0" w:line="225"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By: /s/ 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3841750</wp:posOffset>
            </wp:positionH>
            <wp:positionV relativeFrom="paragraph">
              <wp:posOffset>-7620</wp:posOffset>
            </wp:positionV>
            <wp:extent cx="101219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012190" cy="8255"/>
                    </a:xfrm>
                    <a:prstGeom prst="rect">
                      <a:avLst/>
                    </a:prstGeom>
                    <a:noFill/>
                  </pic:spPr>
                </pic:pic>
              </a:graphicData>
            </a:graphic>
          </wp:anchor>
        </w:drawing>
      </w:r>
    </w:p>
    <w:p>
      <w:pPr>
        <w:spacing w:after="0" w:line="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Name: Gil Raviv</w:t>
      </w:r>
    </w:p>
    <w:p>
      <w:pPr>
        <w:spacing w:after="0" w:line="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Title: Global General Counsel</w:t>
      </w:r>
    </w:p>
    <w:p>
      <w:pPr>
        <w:spacing w:after="0" w:line="200" w:lineRule="exact"/>
        <w:rPr>
          <w:sz w:val="20"/>
          <w:szCs w:val="20"/>
          <w:color w:val="auto"/>
        </w:rPr>
      </w:pPr>
    </w:p>
    <w:p>
      <w:pPr>
        <w:spacing w:after="0" w:line="22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/s/ Israel A. Englander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-7620</wp:posOffset>
            </wp:positionV>
            <wp:extent cx="128524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5240" cy="8255"/>
                    </a:xfrm>
                    <a:prstGeom prst="rect">
                      <a:avLst/>
                    </a:prstGeom>
                    <a:noFill/>
                  </pic:spPr>
                </pic:pic>
              </a:graphicData>
            </a:graphic>
          </wp:anchor>
        </w:drawing>
      </w:r>
    </w:p>
    <w:p>
      <w:pPr>
        <w:spacing w:after="0" w:line="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Israel A. Englander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120"/>
      </w:cols>
      <w:pgMar w:left="320" w:top="364"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1"/>
      <w:numFmt w:val="decimal"/>
      <w:start w:val="12"/>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Letter"/>
      <w:start w:val="2"/>
    </w:lvl>
  </w:abstractNum>
  <w:abstractNum w:abstractNumId="5">
    <w:nsid w:val="41B71EFB"/>
    <w:multiLevelType w:val="hybridMultilevel"/>
    <w:lvl w:ilvl="0">
      <w:lvlJc w:val="left"/>
      <w:lvlText w:val="(%1)"/>
      <w:numFmt w:val="lowerLetter"/>
      <w:start w:val="11"/>
    </w:lvl>
  </w:abstractNum>
  <w:abstractNum w:abstractNumId="6">
    <w:nsid w:val="79E2A9E3"/>
    <w:multiLevelType w:val="hybridMultilevel"/>
    <w:lvl w:ilvl="0">
      <w:lvlJc w:val="left"/>
      <w:lvlText w:val="(%1)"/>
      <w:numFmt w:val="lowerLetter"/>
      <w:start w:val="2"/>
    </w:lvl>
  </w:abstractNum>
  <w:abstractNum w:abstractNumId="7">
    <w:nsid w:val="7545E146"/>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2026-05-01T16:04:39Z</dcterms:created>
  <dcterms:modified xsi:type="dcterms:W3CDTF">2026-05-01T16:04:39Z</dcterms:modified>
</cp:coreProperties>
</file>