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filed with the U.S. Securities and Exchange Commission on December 3, 2021.</w:t>
      </w:r>
    </w:p>
    <w:p>
      <w:pPr>
        <w:spacing w:after="0" w:line="178" w:lineRule="exact"/>
        <w:rPr>
          <w:sz w:val="24"/>
          <w:szCs w:val="24"/>
          <w:color w:val="auto"/>
        </w:rPr>
      </w:pPr>
    </w:p>
    <w:p>
      <w:pPr>
        <w:ind w:left="97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602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165735</wp:posOffset>
            </wp:positionV>
            <wp:extent cx="716026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109220</wp:posOffset>
            </wp:positionV>
            <wp:extent cx="179197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S-1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116205</wp:posOffset>
            </wp:positionV>
            <wp:extent cx="179197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6"/>
          <w:szCs w:val="26"/>
          <w:color w:val="auto"/>
        </w:rPr>
        <w:t>SAB Biotherapeutics,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Delaware</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85-3899721</w:t>
            </w:r>
          </w:p>
        </w:tc>
      </w:tr>
      <w:tr>
        <w:trPr>
          <w:trHeight w:val="161"/>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(State or other jurisdiction of</w:t>
            </w:r>
          </w:p>
        </w:tc>
        <w:tc>
          <w:tcPr>
            <w:tcW w:w="220" w:type="dxa"/>
            <w:vAlign w:val="bottom"/>
          </w:tcPr>
          <w:p>
            <w:pPr>
              <w:spacing w:after="0"/>
              <w:rPr>
                <w:sz w:val="13"/>
                <w:szCs w:val="13"/>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(Primary Standard Industrial</w:t>
            </w:r>
          </w:p>
        </w:tc>
        <w:tc>
          <w:tcPr>
            <w:tcW w:w="22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(I.R.S. Employer</w:t>
            </w:r>
          </w:p>
        </w:tc>
      </w:tr>
      <w:tr>
        <w:trPr>
          <w:trHeight w:val="181"/>
        </w:trPr>
        <w:tc>
          <w:tcPr>
            <w:tcW w:w="38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incorporation or organization)</w:t>
            </w:r>
          </w:p>
        </w:tc>
        <w:tc>
          <w:tcPr>
            <w:tcW w:w="38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Classification Code Number)</w:t>
            </w:r>
          </w:p>
        </w:tc>
        <w:tc>
          <w:tcPr>
            <w:tcW w:w="36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r>
        <w:trPr>
          <w:trHeight w:val="33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2100 East 54th Street North</w:t>
            </w:r>
          </w:p>
        </w:tc>
        <w:tc>
          <w:tcPr>
            <w:tcW w:w="3600" w:type="dxa"/>
            <w:vAlign w:val="bottom"/>
          </w:tcPr>
          <w:p>
            <w:pPr>
              <w:spacing w:after="0"/>
              <w:rPr>
                <w:sz w:val="24"/>
                <w:szCs w:val="24"/>
                <w:color w:val="auto"/>
              </w:rPr>
            </w:pPr>
          </w:p>
        </w:tc>
      </w:tr>
      <w:tr>
        <w:trPr>
          <w:trHeight w:val="17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Sioux Falls, South Dakota 57104</w:t>
            </w:r>
          </w:p>
        </w:tc>
        <w:tc>
          <w:tcPr>
            <w:tcW w:w="3600" w:type="dxa"/>
            <w:vAlign w:val="bottom"/>
          </w:tcPr>
          <w:p>
            <w:pPr>
              <w:spacing w:after="0"/>
              <w:rPr>
                <w:sz w:val="14"/>
                <w:szCs w:val="14"/>
                <w:color w:val="auto"/>
              </w:rPr>
            </w:pPr>
          </w:p>
        </w:tc>
      </w:tr>
      <w:tr>
        <w:trPr>
          <w:trHeight w:val="185"/>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Telephone: 605-679-6980</w:t>
            </w:r>
          </w:p>
        </w:tc>
        <w:tc>
          <w:tcPr>
            <w:tcW w:w="3600" w:type="dxa"/>
            <w:vAlign w:val="bottom"/>
          </w:tcPr>
          <w:p>
            <w:pPr>
              <w:spacing w:after="0"/>
              <w:rPr>
                <w:sz w:val="16"/>
                <w:szCs w:val="16"/>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116205</wp:posOffset>
            </wp:positionV>
            <wp:extent cx="17919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Eddie J. Sullivan, PhD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President and Chief Executive Officer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SAB Biotherapeutics,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2100 East 54th Street North</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Sioux Falls, South Dakota 57104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605-679-6980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116205</wp:posOffset>
            </wp:positionV>
            <wp:extent cx="179197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Brian Lee, Esq.</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Ilan Katz, Esq.</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Dentons US LLP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1221 Avenue of the Americas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NY 10020</w:t>
      </w:r>
    </w:p>
    <w:p>
      <w:pPr>
        <w:spacing w:after="0" w:line="11" w:lineRule="exact"/>
        <w:rPr>
          <w:sz w:val="24"/>
          <w:szCs w:val="24"/>
          <w:color w:val="auto"/>
        </w:rPr>
      </w:pPr>
    </w:p>
    <w:p>
      <w:pPr>
        <w:ind w:left="5540" w:hanging="343"/>
        <w:spacing w:after="0"/>
        <w:tabs>
          <w:tab w:leader="none" w:pos="5540" w:val="left"/>
        </w:tabs>
        <w:numPr>
          <w:ilvl w:val="1"/>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768-6700</w:t>
      </w:r>
    </w:p>
    <w:p>
      <w:pPr>
        <w:spacing w:after="0" w:line="10" w:lineRule="exact"/>
        <w:rPr>
          <w:rFonts w:ascii="Arial" w:cs="Arial" w:eastAsia="Arial" w:hAnsi="Arial"/>
          <w:sz w:val="14"/>
          <w:szCs w:val="14"/>
          <w:b w:val="1"/>
          <w:bCs w:val="1"/>
          <w:color w:val="auto"/>
        </w:rPr>
      </w:pPr>
    </w:p>
    <w:p>
      <w:pPr>
        <w:ind w:left="5140" w:hanging="340"/>
        <w:spacing w:after="0"/>
        <w:tabs>
          <w:tab w:leader="none" w:pos="51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768-6800 — Facsimile</w:t>
      </w:r>
    </w:p>
    <w:p>
      <w:pPr>
        <w:spacing w:after="0" w:line="173"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is declared effective.</w:t>
      </w:r>
    </w:p>
    <w:p>
      <w:pPr>
        <w:spacing w:after="0" w:line="155"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21" w:lineRule="exact"/>
        <w:rPr>
          <w:sz w:val="24"/>
          <w:szCs w:val="24"/>
          <w:color w:val="auto"/>
        </w:rPr>
      </w:pPr>
    </w:p>
    <w:p>
      <w:pPr>
        <w:ind w:firstLine="515"/>
        <w:spacing w:after="0" w:line="18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6" w:lineRule="exact"/>
        <w:rPr>
          <w:sz w:val="24"/>
          <w:szCs w:val="24"/>
          <w:color w:val="auto"/>
        </w:rPr>
      </w:pPr>
    </w:p>
    <w:p>
      <w:pPr>
        <w:ind w:firstLine="515"/>
        <w:spacing w:after="0" w:line="18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6" w:lineRule="exact"/>
        <w:rPr>
          <w:sz w:val="24"/>
          <w:szCs w:val="24"/>
          <w:color w:val="auto"/>
        </w:rPr>
      </w:pPr>
    </w:p>
    <w:p>
      <w:pPr>
        <w:ind w:firstLine="515"/>
        <w:spacing w:after="0" w:line="18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6" w:lineRule="exact"/>
        <w:rPr>
          <w:sz w:val="24"/>
          <w:szCs w:val="24"/>
          <w:color w:val="auto"/>
        </w:rPr>
      </w:pPr>
    </w:p>
    <w:p>
      <w:pPr>
        <w:ind w:firstLine="515"/>
        <w:spacing w:after="0" w:line="28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520" w:type="dxa"/>
        <w:tblCellMar>
          <w:top w:w="0" w:type="dxa"/>
          <w:left w:w="0" w:type="dxa"/>
          <w:bottom w:w="0" w:type="dxa"/>
          <w:right w:w="0" w:type="dxa"/>
        </w:tblCellMar>
      </w:tblPr>
      <w:tr>
        <w:trPr>
          <w:trHeight w:val="172"/>
        </w:trPr>
        <w:tc>
          <w:tcPr>
            <w:tcW w:w="2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60" w:type="dxa"/>
            <w:vAlign w:val="bottom"/>
          </w:tcPr>
          <w:p>
            <w:pPr>
              <w:ind w:left="1440"/>
              <w:spacing w:after="0" w:line="141" w:lineRule="exact"/>
              <w:rPr>
                <w:sz w:val="20"/>
                <w:szCs w:val="20"/>
                <w:color w:val="auto"/>
              </w:rPr>
            </w:pPr>
            <w:r>
              <w:rPr>
                <w:rFonts w:ascii="MS PGothic" w:cs="MS PGothic" w:eastAsia="MS PGothic" w:hAnsi="MS PGothic"/>
                <w:sz w:val="14"/>
                <w:szCs w:val="14"/>
                <w:color w:val="auto"/>
              </w:rPr>
              <w:t>☐</w:t>
            </w:r>
          </w:p>
        </w:tc>
        <w:tc>
          <w:tcPr>
            <w:tcW w:w="2780" w:type="dxa"/>
            <w:vAlign w:val="bottom"/>
          </w:tcPr>
          <w:p>
            <w:pPr>
              <w:ind w:left="30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2"/>
        </w:trPr>
        <w:tc>
          <w:tcPr>
            <w:tcW w:w="2720" w:type="dxa"/>
            <w:vAlign w:val="bottom"/>
          </w:tcPr>
          <w:p>
            <w:pPr>
              <w:spacing w:after="0"/>
              <w:rPr>
                <w:sz w:val="20"/>
                <w:szCs w:val="20"/>
                <w:color w:val="auto"/>
              </w:rPr>
            </w:pPr>
            <w:r>
              <w:rPr>
                <w:rFonts w:ascii="Arial" w:cs="Arial" w:eastAsia="Arial" w:hAnsi="Arial"/>
                <w:sz w:val="14"/>
                <w:szCs w:val="14"/>
                <w:color w:val="auto"/>
              </w:rPr>
              <w:t>Non- accelerated filer</w:t>
            </w:r>
          </w:p>
        </w:tc>
        <w:tc>
          <w:tcPr>
            <w:tcW w:w="1860" w:type="dxa"/>
            <w:vAlign w:val="bottom"/>
          </w:tcPr>
          <w:p>
            <w:pPr>
              <w:ind w:left="1440"/>
              <w:spacing w:after="0" w:line="141" w:lineRule="exact"/>
              <w:rPr>
                <w:sz w:val="20"/>
                <w:szCs w:val="20"/>
                <w:color w:val="auto"/>
              </w:rPr>
            </w:pPr>
            <w:r>
              <w:rPr>
                <w:rFonts w:ascii="MS PGothic" w:cs="MS PGothic" w:eastAsia="MS PGothic" w:hAnsi="MS PGothic"/>
                <w:sz w:val="14"/>
                <w:szCs w:val="14"/>
                <w:color w:val="auto"/>
              </w:rPr>
              <w:t>☒</w:t>
            </w:r>
          </w:p>
        </w:tc>
        <w:tc>
          <w:tcPr>
            <w:tcW w:w="2780" w:type="dxa"/>
            <w:vAlign w:val="bottom"/>
          </w:tcPr>
          <w:p>
            <w:pPr>
              <w:ind w:left="30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2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780" w:type="dxa"/>
            <w:vAlign w:val="bottom"/>
          </w:tcPr>
          <w:p>
            <w:pPr>
              <w:ind w:left="30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6" w:lineRule="exact"/>
        <w:rPr>
          <w:sz w:val="24"/>
          <w:szCs w:val="24"/>
          <w:color w:val="auto"/>
        </w:rPr>
      </w:pPr>
    </w:p>
    <w:p>
      <w:pPr>
        <w:ind w:firstLine="515"/>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20" w:type="dxa"/>
            <w:vAlign w:val="bottom"/>
            <w:gridSpan w:val="6"/>
          </w:tcPr>
          <w:p>
            <w:pPr>
              <w:jc w:val="right"/>
              <w:ind w:right="353"/>
              <w:spacing w:after="0"/>
              <w:rPr>
                <w:sz w:val="20"/>
                <w:szCs w:val="20"/>
                <w:color w:val="auto"/>
              </w:rPr>
            </w:pPr>
            <w:r>
              <w:rPr>
                <w:rFonts w:ascii="Arial" w:cs="Arial" w:eastAsia="Arial" w:hAnsi="Arial"/>
                <w:sz w:val="14"/>
                <w:szCs w:val="14"/>
                <w:b w:val="1"/>
                <w:bCs w:val="1"/>
                <w:color w:val="auto"/>
              </w:rPr>
              <w:t>CALCULATION OF REGISTRATION FEE</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Proposed Maximum</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 to be</w:t>
            </w:r>
          </w:p>
        </w:tc>
        <w:tc>
          <w:tcPr>
            <w:tcW w:w="120" w:type="dxa"/>
            <w:vAlign w:val="bottom"/>
          </w:tcPr>
          <w:p>
            <w:pPr>
              <w:spacing w:after="0"/>
              <w:rPr>
                <w:sz w:val="14"/>
                <w:szCs w:val="14"/>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Aggregate Offering</w:t>
            </w: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Proposed Maximum</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253"/>
              <w:spacing w:after="0" w:line="143" w:lineRule="exact"/>
              <w:rPr>
                <w:sz w:val="20"/>
                <w:szCs w:val="20"/>
                <w:color w:val="auto"/>
              </w:rPr>
            </w:pPr>
            <w:r>
              <w:rPr>
                <w:rFonts w:ascii="Arial" w:cs="Arial" w:eastAsia="Arial" w:hAnsi="Arial"/>
                <w:sz w:val="14"/>
                <w:szCs w:val="14"/>
                <w:b w:val="1"/>
                <w:bCs w:val="1"/>
                <w:color w:val="auto"/>
                <w:w w:val="95"/>
              </w:rPr>
              <w:t>Price Per</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92"/>
              </w:rPr>
              <w:t>Aggregate Offering</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460"/>
              <w:spacing w:after="0" w:line="214" w:lineRule="exact"/>
              <w:rPr>
                <w:sz w:val="20"/>
                <w:szCs w:val="20"/>
                <w:color w:val="auto"/>
              </w:rPr>
            </w:pPr>
            <w:r>
              <w:rPr>
                <w:rFonts w:ascii="Arial" w:cs="Arial" w:eastAsia="Arial" w:hAnsi="Arial"/>
                <w:sz w:val="14"/>
                <w:szCs w:val="14"/>
                <w:b w:val="1"/>
                <w:bCs w:val="1"/>
                <w:color w:val="auto"/>
              </w:rPr>
              <w:t>Registered</w:t>
            </w:r>
            <w:r>
              <w:rPr>
                <w:rFonts w:ascii="Arial" w:cs="Arial" w:eastAsia="Arial" w:hAnsi="Arial"/>
                <w:sz w:val="23"/>
                <w:szCs w:val="23"/>
                <w:b w:val="1"/>
                <w:bCs w:val="1"/>
                <w:color w:val="auto"/>
                <w:vertAlign w:val="superscript"/>
              </w:rPr>
              <w:t>(1)</w:t>
            </w:r>
          </w:p>
        </w:tc>
        <w:tc>
          <w:tcPr>
            <w:tcW w:w="120" w:type="dxa"/>
            <w:vAlign w:val="bottom"/>
          </w:tcPr>
          <w:p>
            <w:pPr>
              <w:spacing w:after="0"/>
              <w:rPr>
                <w:sz w:val="18"/>
                <w:szCs w:val="18"/>
                <w:color w:val="auto"/>
              </w:rPr>
            </w:pPr>
          </w:p>
        </w:tc>
        <w:tc>
          <w:tcPr>
            <w:tcW w:w="980" w:type="dxa"/>
            <w:vAlign w:val="bottom"/>
          </w:tcPr>
          <w:p>
            <w:pPr>
              <w:jc w:val="center"/>
              <w:ind w:left="293"/>
              <w:spacing w:after="0"/>
              <w:rPr>
                <w:sz w:val="20"/>
                <w:szCs w:val="20"/>
                <w:color w:val="auto"/>
              </w:rPr>
            </w:pPr>
            <w:r>
              <w:rPr>
                <w:rFonts w:ascii="Arial" w:cs="Arial" w:eastAsia="Arial" w:hAnsi="Arial"/>
                <w:sz w:val="14"/>
                <w:szCs w:val="14"/>
                <w:b w:val="1"/>
                <w:bCs w:val="1"/>
                <w:color w:val="auto"/>
                <w:w w:val="90"/>
              </w:rPr>
              <w:t>Security</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72"/>
        </w:trPr>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Common Stock, 0.0001 par value per share</w:t>
            </w: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5,958,600</w:t>
            </w:r>
          </w:p>
        </w:tc>
        <w:tc>
          <w:tcPr>
            <w:tcW w:w="26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w w:val="81"/>
              </w:rPr>
              <w:t>(2)</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11.50</w:t>
            </w:r>
          </w:p>
        </w:tc>
        <w:tc>
          <w:tcPr>
            <w:tcW w:w="36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81"/>
              </w:rPr>
              <w:t>(3)</w:t>
            </w: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68,523,900</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6,352.17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gridSpan w:val="2"/>
          </w:tcPr>
          <w:p>
            <w:pPr>
              <w:spacing w:after="0"/>
              <w:rPr>
                <w:sz w:val="20"/>
                <w:szCs w:val="20"/>
                <w:color w:val="auto"/>
              </w:rPr>
            </w:pPr>
            <w:r>
              <w:rPr>
                <w:rFonts w:ascii="Arial" w:cs="Arial" w:eastAsia="Arial" w:hAnsi="Arial"/>
                <w:sz w:val="14"/>
                <w:szCs w:val="14"/>
                <w:color w:val="auto"/>
              </w:rPr>
              <w:t>Common Stock, 0.0001 par value per share</w:t>
            </w:r>
          </w:p>
        </w:tc>
        <w:tc>
          <w:tcPr>
            <w:tcW w:w="2720" w:type="dxa"/>
            <w:vAlign w:val="bottom"/>
            <w:gridSpan w:val="4"/>
          </w:tcPr>
          <w:p>
            <w:pPr>
              <w:jc w:val="right"/>
              <w:ind w:right="60"/>
              <w:spacing w:after="0"/>
              <w:rPr>
                <w:sz w:val="20"/>
                <w:szCs w:val="20"/>
                <w:color w:val="auto"/>
              </w:rPr>
            </w:pPr>
            <w:r>
              <w:rPr>
                <w:rFonts w:ascii="Arial" w:cs="Arial" w:eastAsia="Arial" w:hAnsi="Arial"/>
                <w:sz w:val="14"/>
                <w:szCs w:val="14"/>
                <w:color w:val="auto"/>
              </w:rPr>
              <w:t>14,434,301</w:t>
            </w:r>
            <w:r>
              <w:rPr>
                <w:rFonts w:ascii="Arial" w:cs="Arial" w:eastAsia="Arial" w:hAnsi="Arial"/>
                <w:sz w:val="11"/>
                <w:szCs w:val="11"/>
                <w:color w:val="auto"/>
              </w:rPr>
              <w:t>(4)</w:t>
            </w:r>
          </w:p>
        </w:tc>
        <w:tc>
          <w:tcPr>
            <w:tcW w:w="1100" w:type="dxa"/>
            <w:vAlign w:val="bottom"/>
            <w:gridSpan w:val="2"/>
          </w:tcPr>
          <w:p>
            <w:pPr>
              <w:jc w:val="right"/>
              <w:ind w:right="85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10.02</w:t>
            </w:r>
            <w:r>
              <w:rPr>
                <w:rFonts w:ascii="Arial" w:cs="Arial" w:eastAsia="Arial" w:hAnsi="Arial"/>
                <w:sz w:val="11"/>
                <w:szCs w:val="11"/>
                <w:color w:val="auto"/>
                <w:w w:val="98"/>
              </w:rPr>
              <w:t>(5)</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144,631,696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13,407.36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72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20,392,901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213,155,596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19,759.53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8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2" w:lineRule="exact"/>
        <w:rPr>
          <w:sz w:val="24"/>
          <w:szCs w:val="24"/>
          <w:color w:val="auto"/>
        </w:rPr>
      </w:pPr>
    </w:p>
    <w:p>
      <w:pPr>
        <w:ind w:left="420" w:hanging="414"/>
        <w:spacing w:after="0" w:line="283" w:lineRule="auto"/>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the event of a stock split, stock dividend or other similar transaction involving the registrant’s common stock (“Common Stock”), in order to prevent dilution, the number of shares of Common Stock registered hereby shall be automatically increased to cover the additional shares of Common Stock in accordance with Rule 416(a) under the Securities Act.</w:t>
      </w:r>
    </w:p>
    <w:p>
      <w:pPr>
        <w:jc w:val="both"/>
        <w:ind w:left="420" w:hanging="414"/>
        <w:spacing w:after="0" w:line="255"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Consists of (i) 208,600 shares of Common Stock issuable upon the exercise of 208,600 outstanding warrants issued to Big Cypress Holdings LLC (the “Sponsor”) in a private placement concurrently with the registrant’s initial public offering (the “Private Warrants”) and (ii) 5,750,000 shares of Common Stock issuable upon the exercise of 5,750,000 outstanding warrants issued in connection with the registrant’s initial public offering (the “Public Warrants,” and, together with the Private Warrants, the “Warrants”).</w:t>
      </w:r>
    </w:p>
    <w:p>
      <w:pPr>
        <w:spacing w:after="0" w:line="1" w:lineRule="exact"/>
        <w:rPr>
          <w:rFonts w:ascii="Arial" w:cs="Arial" w:eastAsia="Arial" w:hAnsi="Arial"/>
          <w:sz w:val="14"/>
          <w:szCs w:val="14"/>
          <w:color w:val="auto"/>
        </w:rPr>
      </w:pPr>
    </w:p>
    <w:p>
      <w:pPr>
        <w:ind w:left="420" w:hanging="414"/>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upon the $11.50 exercise price per share of Common Stock issuable upon exercise of the Warrants.</w:t>
      </w:r>
    </w:p>
    <w:p>
      <w:pPr>
        <w:spacing w:after="0" w:line="10" w:lineRule="exact"/>
        <w:rPr>
          <w:rFonts w:ascii="Arial" w:cs="Arial" w:eastAsia="Arial" w:hAnsi="Arial"/>
          <w:sz w:val="14"/>
          <w:szCs w:val="14"/>
          <w:color w:val="auto"/>
        </w:rPr>
      </w:pPr>
    </w:p>
    <w:p>
      <w:pPr>
        <w:jc w:val="both"/>
        <w:ind w:left="420" w:hanging="414"/>
        <w:spacing w:after="0" w:line="293" w:lineRule="auto"/>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Consists of the following shares of Common Stock registered for resale by the selling securityholders pursuant to that certain Registration Rights Agreement (the “Registration Rights Agreement”), dated October 23, 2021, between us and certain selling securityholders granting such holders registration rights with respect to such shares: (i) 247,525 shares issued to Chardan Capital Markets LLC (“Chardan”) and certain of its employees and designees in a private placement (ii) 3,047,825 shares of Common Stock held by the Sponsor a private</w:t>
      </w:r>
    </w:p>
    <w:p>
      <w:pPr>
        <w:sectPr>
          <w:pgSz w:w="11900" w:h="16916" w:orient="portrait"/>
          <w:cols w:equalWidth="0" w:num="1">
            <w:col w:w="11280"/>
          </w:cols>
          <w:pgMar w:left="300" w:top="386" w:right="319" w:bottom="0" w:gutter="0" w:footer="0" w:header="0"/>
        </w:sectPr>
      </w:pPr>
    </w:p>
    <w:bookmarkStart w:id="1" w:name="page2"/>
    <w:bookmarkEnd w:id="1"/>
    <w:p>
      <w:pPr>
        <w:jc w:val="both"/>
        <w:ind w:left="420"/>
        <w:spacing w:after="0" w:line="260" w:lineRule="auto"/>
        <w:rPr>
          <w:sz w:val="20"/>
          <w:szCs w:val="20"/>
          <w:color w:val="auto"/>
        </w:rPr>
      </w:pPr>
      <w:r>
        <w:rPr>
          <w:rFonts w:ascii="Arial" w:cs="Arial" w:eastAsia="Arial" w:hAnsi="Arial"/>
          <w:sz w:val="14"/>
          <w:szCs w:val="14"/>
          <w:color w:val="auto"/>
        </w:rPr>
        <w:t>placement in connection with the initial public offering of Big Cypress Acquisition Corp., (iv) up to 208,600 shares of Common Stock issuable upon exercise of the Private Warrants, (v) 10,685,978 shares of Common Stock issued to Christine Hamilton, Director of SAB Biotherapeutics, Inc., and (vi) 244,373 shares issued to Ladenburg Thalmann &amp; Co. Inc. (“Ladenburg”) and certain of its employees.</w:t>
      </w:r>
    </w:p>
    <w:p>
      <w:pPr>
        <w:spacing w:after="0" w:line="2" w:lineRule="exact"/>
        <w:rPr>
          <w:sz w:val="20"/>
          <w:szCs w:val="20"/>
          <w:color w:val="auto"/>
        </w:rPr>
      </w:pPr>
    </w:p>
    <w:p>
      <w:pPr>
        <w:ind w:left="420" w:hanging="414"/>
        <w:spacing w:after="0" w:line="271"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457(c) under the Securities Act. The price per share and aggregate offering price are based on the average of the high and low prices of the Common Stock on November 26, 2021, as reported on the Nasdaq Global Market.</w:t>
      </w:r>
    </w:p>
    <w:p>
      <w:pPr>
        <w:spacing w:after="0" w:line="138" w:lineRule="exact"/>
        <w:rPr>
          <w:sz w:val="20"/>
          <w:szCs w:val="20"/>
          <w:color w:val="auto"/>
        </w:rPr>
      </w:pPr>
    </w:p>
    <w:p>
      <w:pPr>
        <w:jc w:val="both"/>
        <w:ind w:firstLine="515"/>
        <w:spacing w:after="0" w:line="27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16026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122555</wp:posOffset>
            </wp:positionV>
            <wp:extent cx="716026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374650</wp:posOffset>
            </wp:positionV>
            <wp:extent cx="716026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jc w:val="both"/>
        <w:spacing w:after="0" w:line="274" w:lineRule="auto"/>
        <w:rPr>
          <w:sz w:val="20"/>
          <w:szCs w:val="20"/>
          <w:color w:val="auto"/>
        </w:rPr>
      </w:pPr>
      <w:r>
        <w:rPr>
          <w:rFonts w:ascii="Arial" w:cs="Arial" w:eastAsia="Arial" w:hAnsi="Arial"/>
          <w:sz w:val="14"/>
          <w:szCs w:val="14"/>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0000"/>
        </w:rPr>
        <w:t>Subject to Completion, Dated December 3,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125095</wp:posOffset>
            </wp:positionV>
            <wp:extent cx="2609215" cy="946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9215" cy="94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Up to 14,434,301 Shares of Common Stock</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Up to 5,958,600 Shares of Common Stock Issuable Upon Exercise of Warrants</w:t>
      </w:r>
    </w:p>
    <w:p>
      <w:pPr>
        <w:spacing w:after="0" w:line="173"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This prospectus relates to the issuance by us of an aggregate of up to 5,958,600 shares of our common stock, $0.0001 par value per share (the “Common Stock”), which consists of (i) the issuance of up to 208,600 shares of Common Stock upon exercise of 208,600 warrants issued in a private placement to Big Cypress Holdings LLC (the “Sponsor”), in connection with the initial public offering of Big Cypress Acquisition Corp. (the “Private Placement Warrants”), and (ii) the issuance of up to 5,750,000 shares of Common Stock issuable upon exercise of 5,750,000 warrants issued in the initial public offering of Big Cypress Acquisition Corp. (the “Public Warrants,” and, together with the Private Placement Warrants, the “Warrants”). We will receive the proceeds from the exercise of any Warrants for cash.</w:t>
      </w:r>
    </w:p>
    <w:p>
      <w:pPr>
        <w:spacing w:after="0" w:line="148"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This prospectus also relates to the offer and sale from time to time of up to 14,434,301 shares of Common Stock by the selling securityholders named in this prospectus or their permitted transferees (the “selling securityholders”), which consists of (i) 3,047,825 shares issued in a private placement to the Sponsor pursuant to the Securities Subscription Agreement, dated November 12, 2020, (ii) 10,685,978 shares issued to Christine Hamilton, Director of SAB Biotherapeutics, Inc. (the “Company”), (iii) 244,373 shares issued to Ladenburg Thalmann &amp; Co. Inc. (“Ladenburg”) and certain of its employees, and (iv) 247,525 shares issued to Chardan Capital Markets LLC (“Chardan”) and certain of its employees and designees. We will not receive any proceeds from the sale of shares by the selling securityholders pursuant to this prospectus. We are registering the securities held by the selling securityholders for resale pursuant to that certain amended and restated registration rights agreement dated October 23, 2021 between us and the selling securityholders.</w:t>
      </w:r>
    </w:p>
    <w:p>
      <w:pPr>
        <w:spacing w:after="0" w:line="147"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Our registration of the securities covered by this prospectus does not mean that the selling securityholders will offer or sell any of the shares of Common Stock. The selling securityholders may offer, sell or distribute all or a portion of the securities hereby registered publicly or through private transactions at prevailing market prices or at negotiated prices. We will not receive any of the proceeds from such sales of the shares of Common Stock, except with respect to amounts received by us upon exercise of the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Common Stock. See the section titled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48"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Common Stock and Public Warrants are listed on The Nasdaq Stock Market LLC (“Nasdaq”) under the symbols “SABS” and “SABSW”, respectively. On December 2, 2021, the last reported sales price of Common Stock was $10.32 per share and the last reported sales price of our Public Warrants was $11.50 per warrant.</w:t>
      </w:r>
    </w:p>
    <w:p>
      <w:pPr>
        <w:spacing w:after="0" w:line="131"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 We are incorporated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90170</wp:posOffset>
            </wp:positionV>
            <wp:extent cx="179197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11"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4"/>
          <w:szCs w:val="14"/>
          <w:b w:val="1"/>
          <w:bCs w:val="1"/>
          <w:color w:val="auto"/>
        </w:rPr>
        <w:t>Investing in our securities involves a high degree of risk. You should review carefully the risks and uncertainties described in the section titled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 and under similar headings in any amendments or supplements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87630</wp:posOffset>
            </wp:positionV>
            <wp:extent cx="179197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07"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87630</wp:posOffset>
            </wp:positionV>
            <wp:extent cx="179197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20" w:type="dxa"/>
            <w:vAlign w:val="bottom"/>
          </w:tcPr>
          <w:p>
            <w:pPr>
              <w:ind w:left="4720"/>
              <w:spacing w:after="0"/>
              <w:rPr>
                <w:sz w:val="20"/>
                <w:szCs w:val="20"/>
                <w:color w:val="auto"/>
              </w:rPr>
            </w:pPr>
            <w:r>
              <w:rPr>
                <w:rFonts w:ascii="Arial" w:cs="Arial" w:eastAsia="Arial" w:hAnsi="Arial"/>
                <w:sz w:val="14"/>
                <w:szCs w:val="14"/>
                <w:color w:val="auto"/>
              </w:rPr>
              <w:t>Prospectus dated</w:t>
            </w:r>
          </w:p>
        </w:tc>
        <w:tc>
          <w:tcPr>
            <w:tcW w:w="5260" w:type="dxa"/>
            <w:vAlign w:val="bottom"/>
          </w:tcPr>
          <w:p>
            <w:pPr>
              <w:jc w:val="right"/>
              <w:ind w:right="4488"/>
              <w:spacing w:after="0"/>
              <w:rPr>
                <w:sz w:val="20"/>
                <w:szCs w:val="20"/>
                <w:color w:val="auto"/>
              </w:rPr>
            </w:pPr>
            <w:r>
              <w:rPr>
                <w:rFonts w:ascii="Arial" w:cs="Arial" w:eastAsia="Arial" w:hAnsi="Arial"/>
                <w:sz w:val="14"/>
                <w:szCs w:val="14"/>
                <w:color w:val="auto"/>
              </w:rPr>
              <w:t>, 2021</w:t>
            </w:r>
          </w:p>
        </w:tc>
      </w:tr>
      <w:tr>
        <w:trPr>
          <w:trHeight w:val="346"/>
        </w:trPr>
        <w:tc>
          <w:tcPr>
            <w:tcW w:w="60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20" w:type="dxa"/>
            <w:vAlign w:val="bottom"/>
            <w:gridSpan w:val="4"/>
          </w:tcPr>
          <w:p>
            <w:pPr>
              <w:ind w:left="40"/>
              <w:spacing w:after="0"/>
              <w:rPr>
                <w:sz w:val="20"/>
                <w:szCs w:val="20"/>
                <w:color w:val="auto"/>
              </w:rPr>
            </w:pPr>
            <w:r>
              <w:rPr>
                <w:rFonts w:ascii="Arial" w:cs="Arial" w:eastAsia="Arial" w:hAnsi="Arial"/>
                <w:sz w:val="14"/>
                <w:szCs w:val="14"/>
                <w:b w:val="1"/>
                <w:bCs w:val="1"/>
                <w:color w:val="auto"/>
              </w:rPr>
              <w:t>TABLE OF CONTENTS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10740" w:type="dxa"/>
            <w:vAlign w:val="bottom"/>
            <w:gridSpan w:val="22"/>
            <w:shd w:val="clear" w:color="auto" w:fill="CCEEFF"/>
          </w:tcPr>
          <w:p>
            <w:pPr>
              <w:spacing w:after="0" w:line="139" w:lineRule="exact"/>
              <w:rPr>
                <w:rFonts w:ascii="Arial" w:cs="Arial" w:eastAsia="Arial" w:hAnsi="Arial"/>
                <w:sz w:val="14"/>
                <w:szCs w:val="14"/>
                <w:b w:val="1"/>
                <w:bCs w:val="1"/>
                <w:color w:val="0000EE"/>
              </w:rPr>
            </w:pPr>
            <w:hyperlink w:anchor="page8">
              <w:r>
                <w:rPr>
                  <w:rFonts w:ascii="Arial" w:cs="Arial" w:eastAsia="Arial" w:hAnsi="Arial"/>
                  <w:sz w:val="14"/>
                  <w:szCs w:val="14"/>
                  <w:b w:val="1"/>
                  <w:bCs w:val="1"/>
                  <w:color w:val="0000EE"/>
                </w:rPr>
                <w:t>PROSPECTUS SUMMARY</w:t>
              </w:r>
            </w:hyperlink>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b w:val="1"/>
                <w:bCs w:val="1"/>
                <w:color w:val="auto"/>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Borders>
              <w:bottom w:val="single" w:sz="8" w:color="0000EE"/>
            </w:tcBorders>
            <w:gridSpan w:val="8"/>
          </w:tcPr>
          <w:p>
            <w:pPr>
              <w:spacing w:after="0" w:line="139" w:lineRule="exact"/>
              <w:rPr>
                <w:rFonts w:ascii="Arial" w:cs="Arial" w:eastAsia="Arial" w:hAnsi="Arial"/>
                <w:sz w:val="14"/>
                <w:szCs w:val="14"/>
                <w:b w:val="1"/>
                <w:bCs w:val="1"/>
                <w:color w:val="0000EE"/>
              </w:rPr>
            </w:pPr>
            <w:hyperlink w:anchor="page29">
              <w:r>
                <w:rPr>
                  <w:rFonts w:ascii="Arial" w:cs="Arial" w:eastAsia="Arial" w:hAnsi="Arial"/>
                  <w:sz w:val="14"/>
                  <w:szCs w:val="14"/>
                  <w:b w:val="1"/>
                  <w:bCs w:val="1"/>
                  <w:color w:val="0000EE"/>
                </w:rPr>
                <w:t>MARKET AND INDUSTRY DATA</w:t>
              </w:r>
            </w:hyperlink>
          </w:p>
        </w:tc>
        <w:tc>
          <w:tcPr>
            <w:tcW w:w="8560" w:type="dxa"/>
            <w:vAlign w:val="bottom"/>
            <w:gridSpan w:val="14"/>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Borders>
              <w:bottom w:val="single" w:sz="8" w:color="0000EE"/>
            </w:tcBorders>
            <w:gridSpan w:val="4"/>
            <w:shd w:val="clear" w:color="auto" w:fill="CCEEFF"/>
          </w:tcPr>
          <w:p>
            <w:pPr>
              <w:spacing w:after="0" w:line="152" w:lineRule="exact"/>
              <w:rPr>
                <w:rFonts w:ascii="Arial" w:cs="Arial" w:eastAsia="Arial" w:hAnsi="Arial"/>
                <w:sz w:val="14"/>
                <w:szCs w:val="14"/>
                <w:b w:val="1"/>
                <w:bCs w:val="1"/>
                <w:color w:val="0000EE"/>
                <w:w w:val="96"/>
              </w:rPr>
            </w:pPr>
            <w:hyperlink w:anchor="page30">
              <w:r>
                <w:rPr>
                  <w:rFonts w:ascii="Arial" w:cs="Arial" w:eastAsia="Arial" w:hAnsi="Arial"/>
                  <w:sz w:val="14"/>
                  <w:szCs w:val="14"/>
                  <w:b w:val="1"/>
                  <w:bCs w:val="1"/>
                  <w:color w:val="0000EE"/>
                  <w:w w:val="96"/>
                </w:rPr>
                <w:t>USE OF PROCEEDS</w:t>
              </w:r>
            </w:hyperlink>
          </w:p>
        </w:tc>
        <w:tc>
          <w:tcPr>
            <w:tcW w:w="9420" w:type="dxa"/>
            <w:vAlign w:val="bottom"/>
            <w:tcBorders>
              <w:bottom w:val="single" w:sz="8" w:color="CCEEFF"/>
            </w:tcBorders>
            <w:gridSpan w:val="18"/>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40" w:type="dxa"/>
            <w:vAlign w:val="bottom"/>
            <w:tcBorders>
              <w:bottom w:val="single" w:sz="8" w:color="0000EE"/>
            </w:tcBorders>
            <w:gridSpan w:val="11"/>
          </w:tcPr>
          <w:p>
            <w:pPr>
              <w:spacing w:after="0" w:line="139" w:lineRule="exact"/>
              <w:rPr>
                <w:rFonts w:ascii="Arial" w:cs="Arial" w:eastAsia="Arial" w:hAnsi="Arial"/>
                <w:sz w:val="14"/>
                <w:szCs w:val="14"/>
                <w:b w:val="1"/>
                <w:bCs w:val="1"/>
                <w:color w:val="0000EE"/>
              </w:rPr>
            </w:pPr>
            <w:hyperlink w:anchor="page31">
              <w:r>
                <w:rPr>
                  <w:rFonts w:ascii="Arial" w:cs="Arial" w:eastAsia="Arial" w:hAnsi="Arial"/>
                  <w:sz w:val="14"/>
                  <w:szCs w:val="14"/>
                  <w:b w:val="1"/>
                  <w:bCs w:val="1"/>
                  <w:color w:val="0000EE"/>
                </w:rPr>
                <w:t>DETERMINATION OF OFFERING PRICE</w:t>
              </w:r>
            </w:hyperlink>
          </w:p>
        </w:tc>
        <w:tc>
          <w:tcPr>
            <w:tcW w:w="8000" w:type="dxa"/>
            <w:vAlign w:val="bottom"/>
            <w:gridSpan w:val="11"/>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tcBorders>
              <w:bottom w:val="single" w:sz="8" w:color="0000EE"/>
            </w:tcBorders>
            <w:gridSpan w:val="17"/>
            <w:shd w:val="clear" w:color="auto" w:fill="CCEEFF"/>
          </w:tcPr>
          <w:p>
            <w:pPr>
              <w:spacing w:after="0" w:line="152" w:lineRule="exact"/>
              <w:rPr>
                <w:rFonts w:ascii="Arial" w:cs="Arial" w:eastAsia="Arial" w:hAnsi="Arial"/>
                <w:sz w:val="14"/>
                <w:szCs w:val="14"/>
                <w:b w:val="1"/>
                <w:bCs w:val="1"/>
                <w:color w:val="0000EE"/>
              </w:rPr>
            </w:pPr>
            <w:hyperlink w:anchor="page32">
              <w:r>
                <w:rPr>
                  <w:rFonts w:ascii="Arial" w:cs="Arial" w:eastAsia="Arial" w:hAnsi="Arial"/>
                  <w:sz w:val="14"/>
                  <w:szCs w:val="14"/>
                  <w:b w:val="1"/>
                  <w:bCs w:val="1"/>
                  <w:color w:val="0000EE"/>
                </w:rPr>
                <w:t>MARKET INFORMATION FOR SECURITIES AND DIVIDEND POLICY</w:t>
              </w:r>
            </w:hyperlink>
          </w:p>
        </w:tc>
        <w:tc>
          <w:tcPr>
            <w:tcW w:w="6080" w:type="dxa"/>
            <w:vAlign w:val="bottom"/>
            <w:tcBorders>
              <w:bottom w:val="single" w:sz="8" w:color="CCEEFF"/>
            </w:tcBorders>
            <w:gridSpan w:val="5"/>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80" w:type="dxa"/>
            <w:vAlign w:val="bottom"/>
            <w:tcBorders>
              <w:bottom w:val="single" w:sz="8" w:color="0000EE"/>
            </w:tcBorders>
            <w:gridSpan w:val="19"/>
          </w:tcPr>
          <w:p>
            <w:pPr>
              <w:spacing w:after="0" w:line="139" w:lineRule="exact"/>
              <w:rPr>
                <w:rFonts w:ascii="Arial" w:cs="Arial" w:eastAsia="Arial" w:hAnsi="Arial"/>
                <w:sz w:val="14"/>
                <w:szCs w:val="14"/>
                <w:b w:val="1"/>
                <w:bCs w:val="1"/>
                <w:color w:val="0000EE"/>
              </w:rPr>
            </w:pPr>
            <w:hyperlink w:anchor="page33">
              <w:r>
                <w:rPr>
                  <w:rFonts w:ascii="Arial" w:cs="Arial" w:eastAsia="Arial" w:hAnsi="Arial"/>
                  <w:sz w:val="14"/>
                  <w:szCs w:val="14"/>
                  <w:b w:val="1"/>
                  <w:bCs w:val="1"/>
                  <w:color w:val="0000EE"/>
                </w:rPr>
                <w:t>UNAUDITED PRO FORMA CONDENSED COMBINED FINANCIAL INFORMATION</w:t>
              </w:r>
            </w:hyperlink>
          </w:p>
        </w:tc>
        <w:tc>
          <w:tcPr>
            <w:tcW w:w="5260" w:type="dxa"/>
            <w:vAlign w:val="bottom"/>
            <w:gridSpan w:val="3"/>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80" w:type="dxa"/>
            <w:vAlign w:val="bottom"/>
            <w:tcBorders>
              <w:bottom w:val="single" w:sz="8" w:color="0000EE"/>
            </w:tcBorders>
            <w:gridSpan w:val="20"/>
            <w:shd w:val="clear" w:color="auto" w:fill="CCEEFF"/>
          </w:tcPr>
          <w:p>
            <w:pPr>
              <w:spacing w:after="0" w:line="152" w:lineRule="exact"/>
              <w:rPr>
                <w:rFonts w:ascii="Arial" w:cs="Arial" w:eastAsia="Arial" w:hAnsi="Arial"/>
                <w:sz w:val="14"/>
                <w:szCs w:val="14"/>
                <w:b w:val="1"/>
                <w:bCs w:val="1"/>
                <w:color w:val="0000EE"/>
              </w:rPr>
            </w:pPr>
            <w:hyperlink w:anchor="page41">
              <w:r>
                <w:rPr>
                  <w:rFonts w:ascii="Arial" w:cs="Arial" w:eastAsia="Arial" w:hAnsi="Arial"/>
                  <w:sz w:val="14"/>
                  <w:szCs w:val="14"/>
                  <w:b w:val="1"/>
                  <w:bCs w:val="1"/>
                  <w:color w:val="0000EE"/>
                </w:rPr>
                <w:t>MANAGEMENT’S DISCUSSION AND ANALYSIS OF FINANCIAL CONDITION AND RESULTS OF OPERATIONS</w:t>
              </w:r>
            </w:hyperlink>
          </w:p>
        </w:tc>
        <w:tc>
          <w:tcPr>
            <w:tcW w:w="3360" w:type="dxa"/>
            <w:vAlign w:val="bottom"/>
            <w:tcBorders>
              <w:bottom w:val="single" w:sz="8" w:color="CCEEFF"/>
            </w:tcBorders>
            <w:gridSpan w:val="2"/>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Borders>
              <w:bottom w:val="single" w:sz="8" w:color="0000EE"/>
            </w:tcBorders>
          </w:tcPr>
          <w:p>
            <w:pPr>
              <w:spacing w:after="0" w:line="139" w:lineRule="exact"/>
              <w:rPr>
                <w:rFonts w:ascii="Arial" w:cs="Arial" w:eastAsia="Arial" w:hAnsi="Arial"/>
                <w:sz w:val="14"/>
                <w:szCs w:val="14"/>
                <w:b w:val="1"/>
                <w:bCs w:val="1"/>
                <w:color w:val="0000EE"/>
                <w:w w:val="89"/>
              </w:rPr>
            </w:pPr>
            <w:hyperlink w:anchor="page57">
              <w:r>
                <w:rPr>
                  <w:rFonts w:ascii="Arial" w:cs="Arial" w:eastAsia="Arial" w:hAnsi="Arial"/>
                  <w:sz w:val="14"/>
                  <w:szCs w:val="14"/>
                  <w:b w:val="1"/>
                  <w:bCs w:val="1"/>
                  <w:color w:val="0000EE"/>
                  <w:w w:val="89"/>
                </w:rPr>
                <w:t>BUSINESS</w:t>
              </w:r>
            </w:hyperlink>
          </w:p>
        </w:tc>
        <w:tc>
          <w:tcPr>
            <w:tcW w:w="10060" w:type="dxa"/>
            <w:vAlign w:val="bottom"/>
            <w:gridSpan w:val="21"/>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740" w:type="dxa"/>
            <w:vAlign w:val="bottom"/>
            <w:gridSpan w:val="22"/>
            <w:shd w:val="clear" w:color="auto" w:fill="CCEEFF"/>
          </w:tcPr>
          <w:p>
            <w:pPr>
              <w:spacing w:after="0" w:line="152" w:lineRule="exact"/>
              <w:rPr>
                <w:rFonts w:ascii="Arial" w:cs="Arial" w:eastAsia="Arial" w:hAnsi="Arial"/>
                <w:sz w:val="14"/>
                <w:szCs w:val="14"/>
                <w:b w:val="1"/>
                <w:bCs w:val="1"/>
                <w:color w:val="0000EE"/>
              </w:rPr>
            </w:pPr>
            <w:hyperlink w:anchor="page75">
              <w:r>
                <w:rPr>
                  <w:rFonts w:ascii="Arial" w:cs="Arial" w:eastAsia="Arial" w:hAnsi="Arial"/>
                  <w:sz w:val="14"/>
                  <w:szCs w:val="14"/>
                  <w:b w:val="1"/>
                  <w:bCs w:val="1"/>
                  <w:color w:val="0000EE"/>
                </w:rPr>
                <w:t>MANAGEMENT</w:t>
              </w:r>
            </w:hyperlink>
          </w:p>
        </w:tc>
        <w:tc>
          <w:tcPr>
            <w:tcW w:w="5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740" w:type="dxa"/>
            <w:vAlign w:val="bottom"/>
            <w:gridSpan w:val="22"/>
          </w:tcPr>
          <w:p>
            <w:pPr>
              <w:spacing w:after="0" w:line="139" w:lineRule="exact"/>
              <w:rPr>
                <w:rFonts w:ascii="Arial" w:cs="Arial" w:eastAsia="Arial" w:hAnsi="Arial"/>
                <w:sz w:val="14"/>
                <w:szCs w:val="14"/>
                <w:b w:val="1"/>
                <w:bCs w:val="1"/>
                <w:color w:val="0000EE"/>
              </w:rPr>
            </w:pPr>
            <w:hyperlink w:anchor="page82">
              <w:r>
                <w:rPr>
                  <w:rFonts w:ascii="Arial" w:cs="Arial" w:eastAsia="Arial" w:hAnsi="Arial"/>
                  <w:sz w:val="14"/>
                  <w:szCs w:val="14"/>
                  <w:b w:val="1"/>
                  <w:bCs w:val="1"/>
                  <w:color w:val="0000EE"/>
                </w:rPr>
                <w:t>EXECUTIVE COMPENSATION</w:t>
              </w:r>
            </w:hyperlink>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tcBorders>
              <w:bottom w:val="single" w:sz="8" w:color="0000EE"/>
            </w:tcBorders>
            <w:gridSpan w:val="16"/>
            <w:shd w:val="clear" w:color="auto" w:fill="CCEEFF"/>
          </w:tcPr>
          <w:p>
            <w:pPr>
              <w:spacing w:after="0" w:line="152" w:lineRule="exact"/>
              <w:rPr>
                <w:rFonts w:ascii="Arial" w:cs="Arial" w:eastAsia="Arial" w:hAnsi="Arial"/>
                <w:sz w:val="14"/>
                <w:szCs w:val="14"/>
                <w:b w:val="1"/>
                <w:bCs w:val="1"/>
                <w:color w:val="0000EE"/>
              </w:rPr>
            </w:pPr>
            <w:hyperlink w:anchor="page91">
              <w:r>
                <w:rPr>
                  <w:rFonts w:ascii="Arial" w:cs="Arial" w:eastAsia="Arial" w:hAnsi="Arial"/>
                  <w:sz w:val="14"/>
                  <w:szCs w:val="14"/>
                  <w:b w:val="1"/>
                  <w:bCs w:val="1"/>
                  <w:color w:val="0000EE"/>
                </w:rPr>
                <w:t>CERTAIN RELATIONSHIPS AND RELATED PARTY TRANSACTIONS</w:t>
              </w:r>
            </w:hyperlink>
          </w:p>
        </w:tc>
        <w:tc>
          <w:tcPr>
            <w:tcW w:w="6160" w:type="dxa"/>
            <w:vAlign w:val="bottom"/>
            <w:tcBorders>
              <w:bottom w:val="single" w:sz="8" w:color="CCEEFF"/>
            </w:tcBorders>
            <w:gridSpan w:val="6"/>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740" w:type="dxa"/>
            <w:vAlign w:val="bottom"/>
            <w:gridSpan w:val="22"/>
          </w:tcPr>
          <w:p>
            <w:pPr>
              <w:spacing w:after="0" w:line="139" w:lineRule="exact"/>
              <w:rPr>
                <w:rFonts w:ascii="Arial" w:cs="Arial" w:eastAsia="Arial" w:hAnsi="Arial"/>
                <w:sz w:val="14"/>
                <w:szCs w:val="14"/>
                <w:b w:val="1"/>
                <w:bCs w:val="1"/>
                <w:color w:val="0000EE"/>
              </w:rPr>
            </w:pPr>
            <w:hyperlink w:anchor="page94">
              <w:r>
                <w:rPr>
                  <w:rFonts w:ascii="Arial" w:cs="Arial" w:eastAsia="Arial" w:hAnsi="Arial"/>
                  <w:sz w:val="14"/>
                  <w:szCs w:val="14"/>
                  <w:b w:val="1"/>
                  <w:bCs w:val="1"/>
                  <w:color w:val="0000EE"/>
                </w:rPr>
                <w:t>PRINCIPAL SECURITYHOLDERS</w:t>
              </w:r>
            </w:hyperlink>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7"/>
            <w:shd w:val="clear" w:color="auto" w:fill="CCEEFF"/>
          </w:tcPr>
          <w:p>
            <w:pPr>
              <w:spacing w:after="0" w:line="152" w:lineRule="exact"/>
              <w:rPr>
                <w:rFonts w:ascii="Arial" w:cs="Arial" w:eastAsia="Arial" w:hAnsi="Arial"/>
                <w:sz w:val="14"/>
                <w:szCs w:val="14"/>
                <w:b w:val="1"/>
                <w:bCs w:val="1"/>
                <w:color w:val="0000EE"/>
              </w:rPr>
            </w:pPr>
            <w:hyperlink w:anchor="page96">
              <w:r>
                <w:rPr>
                  <w:rFonts w:ascii="Arial" w:cs="Arial" w:eastAsia="Arial" w:hAnsi="Arial"/>
                  <w:sz w:val="14"/>
                  <w:szCs w:val="14"/>
                  <w:b w:val="1"/>
                  <w:bCs w:val="1"/>
                  <w:color w:val="0000EE"/>
                </w:rPr>
                <w:t>SELLING SECURITYHOLDERS</w:t>
              </w:r>
            </w:hyperlink>
          </w:p>
        </w:tc>
        <w:tc>
          <w:tcPr>
            <w:tcW w:w="140" w:type="dxa"/>
            <w:vAlign w:val="bottom"/>
            <w:tcBorders>
              <w:top w:val="single" w:sz="8" w:color="0000EE"/>
              <w:bottom w:val="single" w:sz="8" w:color="CCEEFF"/>
            </w:tcBorders>
            <w:gridSpan w:val="2"/>
            <w:shd w:val="clear" w:color="auto" w:fill="CCEEFF"/>
          </w:tcPr>
          <w:p>
            <w:pPr>
              <w:spacing w:after="0"/>
              <w:rPr>
                <w:sz w:val="14"/>
                <w:szCs w:val="14"/>
                <w:color w:val="auto"/>
              </w:rPr>
            </w:pPr>
          </w:p>
        </w:tc>
        <w:tc>
          <w:tcPr>
            <w:tcW w:w="8500" w:type="dxa"/>
            <w:vAlign w:val="bottom"/>
            <w:tcBorders>
              <w:bottom w:val="single" w:sz="8" w:color="CCEEFF"/>
            </w:tcBorders>
            <w:gridSpan w:val="13"/>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740" w:type="dxa"/>
            <w:vAlign w:val="bottom"/>
            <w:gridSpan w:val="22"/>
          </w:tcPr>
          <w:p>
            <w:pPr>
              <w:spacing w:after="0" w:line="139" w:lineRule="exact"/>
              <w:rPr>
                <w:rFonts w:ascii="Arial" w:cs="Arial" w:eastAsia="Arial" w:hAnsi="Arial"/>
                <w:sz w:val="14"/>
                <w:szCs w:val="14"/>
                <w:b w:val="1"/>
                <w:bCs w:val="1"/>
                <w:color w:val="0000EE"/>
              </w:rPr>
            </w:pPr>
            <w:hyperlink w:anchor="page96">
              <w:r>
                <w:rPr>
                  <w:rFonts w:ascii="Arial" w:cs="Arial" w:eastAsia="Arial" w:hAnsi="Arial"/>
                  <w:sz w:val="14"/>
                  <w:szCs w:val="14"/>
                  <w:b w:val="1"/>
                  <w:bCs w:val="1"/>
                  <w:color w:val="0000EE"/>
                </w:rPr>
                <w:t>RESALE S-1 SELLING SECURITYHOLDER TABLE</w:t>
              </w:r>
            </w:hyperlink>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60" w:type="dxa"/>
            <w:vAlign w:val="bottom"/>
            <w:tcBorders>
              <w:top w:val="single" w:sz="8" w:color="0000EE"/>
            </w:tcBorders>
            <w:gridSpan w:val="13"/>
            <w:shd w:val="clear" w:color="auto" w:fill="CCEEFF"/>
          </w:tcPr>
          <w:p>
            <w:pPr>
              <w:spacing w:after="0" w:line="152" w:lineRule="exact"/>
              <w:rPr>
                <w:rFonts w:ascii="Arial" w:cs="Arial" w:eastAsia="Arial" w:hAnsi="Arial"/>
                <w:sz w:val="14"/>
                <w:szCs w:val="14"/>
                <w:b w:val="1"/>
                <w:bCs w:val="1"/>
                <w:color w:val="0000EE"/>
              </w:rPr>
            </w:pPr>
            <w:hyperlink w:anchor="page97">
              <w:r>
                <w:rPr>
                  <w:rFonts w:ascii="Arial" w:cs="Arial" w:eastAsia="Arial" w:hAnsi="Arial"/>
                  <w:sz w:val="14"/>
                  <w:szCs w:val="14"/>
                  <w:b w:val="1"/>
                  <w:bCs w:val="1"/>
                  <w:color w:val="0000EE"/>
                </w:rPr>
                <w:t>DESCRIPTION OF OUR SECURITIES</w:t>
              </w:r>
            </w:hyperlink>
          </w:p>
        </w:tc>
        <w:tc>
          <w:tcPr>
            <w:tcW w:w="7380" w:type="dxa"/>
            <w:vAlign w:val="bottom"/>
            <w:gridSpan w:val="9"/>
            <w:shd w:val="clear" w:color="auto" w:fill="CCEEFF"/>
          </w:tcPr>
          <w:p>
            <w:pPr>
              <w:spacing w:after="0"/>
              <w:rPr>
                <w:sz w:val="13"/>
                <w:szCs w:val="13"/>
                <w:color w:val="auto"/>
              </w:rPr>
            </w:pPr>
          </w:p>
        </w:tc>
        <w:tc>
          <w:tcPr>
            <w:tcW w:w="5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740" w:type="dxa"/>
            <w:vAlign w:val="bottom"/>
            <w:gridSpan w:val="22"/>
          </w:tcPr>
          <w:p>
            <w:pPr>
              <w:spacing w:after="0" w:line="139" w:lineRule="exact"/>
              <w:rPr>
                <w:rFonts w:ascii="Arial" w:cs="Arial" w:eastAsia="Arial" w:hAnsi="Arial"/>
                <w:sz w:val="14"/>
                <w:szCs w:val="14"/>
                <w:b w:val="1"/>
                <w:bCs w:val="1"/>
                <w:color w:val="0000EE"/>
              </w:rPr>
            </w:pPr>
            <w:hyperlink w:anchor="page103">
              <w:r>
                <w:rPr>
                  <w:rFonts w:ascii="Arial" w:cs="Arial" w:eastAsia="Arial" w:hAnsi="Arial"/>
                  <w:sz w:val="14"/>
                  <w:szCs w:val="14"/>
                  <w:b w:val="1"/>
                  <w:bCs w:val="1"/>
                  <w:color w:val="0000EE"/>
                </w:rPr>
                <w:t>MATERIAL UNITED STATES FEDERAL INCOME TAX CONSEQUENCES</w:t>
              </w:r>
            </w:hyperlink>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Borders>
              <w:top w:val="single" w:sz="8" w:color="0000EE"/>
            </w:tcBorders>
            <w:gridSpan w:val="18"/>
            <w:shd w:val="clear" w:color="auto" w:fill="CCEEFF"/>
          </w:tcPr>
          <w:p>
            <w:pPr>
              <w:spacing w:after="0" w:line="152" w:lineRule="exact"/>
              <w:rPr>
                <w:rFonts w:ascii="Arial" w:cs="Arial" w:eastAsia="Arial" w:hAnsi="Arial"/>
                <w:sz w:val="14"/>
                <w:szCs w:val="14"/>
                <w:b w:val="1"/>
                <w:bCs w:val="1"/>
                <w:color w:val="0000EE"/>
              </w:rPr>
            </w:pPr>
            <w:hyperlink w:anchor="page108">
              <w:r>
                <w:rPr>
                  <w:rFonts w:ascii="Arial" w:cs="Arial" w:eastAsia="Arial" w:hAnsi="Arial"/>
                  <w:sz w:val="14"/>
                  <w:szCs w:val="14"/>
                  <w:b w:val="1"/>
                  <w:bCs w:val="1"/>
                  <w:color w:val="0000EE"/>
                </w:rPr>
                <w:t>PLAN OF DISTRIBUTION</w:t>
              </w:r>
            </w:hyperlink>
          </w:p>
        </w:tc>
        <w:tc>
          <w:tcPr>
            <w:tcW w:w="5920" w:type="dxa"/>
            <w:vAlign w:val="bottom"/>
            <w:gridSpan w:val="4"/>
            <w:shd w:val="clear" w:color="auto" w:fill="CCEEFF"/>
          </w:tcPr>
          <w:p>
            <w:pPr>
              <w:spacing w:after="0"/>
              <w:rPr>
                <w:sz w:val="14"/>
                <w:szCs w:val="14"/>
                <w:color w:val="auto"/>
              </w:rPr>
            </w:pPr>
          </w:p>
        </w:tc>
        <w:tc>
          <w:tcPr>
            <w:tcW w:w="5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20" w:type="dxa"/>
            <w:vAlign w:val="bottom"/>
            <w:tcBorders>
              <w:top w:val="single" w:sz="8" w:color="0000EE"/>
              <w:bottom w:val="single" w:sz="8" w:color="0000EE"/>
            </w:tcBorders>
            <w:gridSpan w:val="3"/>
          </w:tcPr>
          <w:p>
            <w:pPr>
              <w:spacing w:after="0" w:line="139" w:lineRule="exact"/>
              <w:rPr>
                <w:rFonts w:ascii="Arial" w:cs="Arial" w:eastAsia="Arial" w:hAnsi="Arial"/>
                <w:sz w:val="14"/>
                <w:szCs w:val="14"/>
                <w:b w:val="1"/>
                <w:bCs w:val="1"/>
                <w:color w:val="0000EE"/>
              </w:rPr>
            </w:pPr>
            <w:hyperlink w:anchor="page110">
              <w:r>
                <w:rPr>
                  <w:rFonts w:ascii="Arial" w:cs="Arial" w:eastAsia="Arial" w:hAnsi="Arial"/>
                  <w:sz w:val="14"/>
                  <w:szCs w:val="14"/>
                  <w:b w:val="1"/>
                  <w:bCs w:val="1"/>
                  <w:color w:val="0000EE"/>
                </w:rPr>
                <w:t>LEGAL MATTERS</w:t>
              </w:r>
            </w:hyperlink>
          </w:p>
        </w:tc>
        <w:tc>
          <w:tcPr>
            <w:tcW w:w="500" w:type="dxa"/>
            <w:vAlign w:val="bottom"/>
            <w:tcBorders>
              <w:top w:val="single" w:sz="8" w:color="0000EE"/>
            </w:tcBorders>
            <w:gridSpan w:val="2"/>
          </w:tcPr>
          <w:p>
            <w:pPr>
              <w:spacing w:after="0"/>
              <w:rPr>
                <w:sz w:val="12"/>
                <w:szCs w:val="12"/>
                <w:color w:val="auto"/>
              </w:rPr>
            </w:pPr>
          </w:p>
        </w:tc>
        <w:tc>
          <w:tcPr>
            <w:tcW w:w="9020" w:type="dxa"/>
            <w:vAlign w:val="bottom"/>
            <w:tcBorders>
              <w:top w:val="single" w:sz="8" w:color="CCEEFF"/>
            </w:tcBorders>
            <w:gridSpan w:val="17"/>
          </w:tcPr>
          <w:p>
            <w:pPr>
              <w:spacing w:after="0"/>
              <w:rPr>
                <w:sz w:val="12"/>
                <w:szCs w:val="12"/>
                <w:color w:val="auto"/>
              </w:rPr>
            </w:pPr>
          </w:p>
        </w:tc>
        <w:tc>
          <w:tcPr>
            <w:tcW w:w="520" w:type="dxa"/>
            <w:vAlign w:val="bottom"/>
            <w:tcBorders>
              <w:top w:val="single" w:sz="8" w:color="CCEEFF"/>
            </w:tcBorders>
          </w:tcPr>
          <w:p>
            <w:pPr>
              <w:jc w:val="right"/>
              <w:spacing w:after="0" w:line="139" w:lineRule="exact"/>
              <w:rPr>
                <w:sz w:val="20"/>
                <w:szCs w:val="20"/>
                <w:color w:val="auto"/>
              </w:rPr>
            </w:pPr>
            <w:r>
              <w:rPr>
                <w:rFonts w:ascii="Arial" w:cs="Arial" w:eastAsia="Arial" w:hAnsi="Arial"/>
                <w:sz w:val="14"/>
                <w:szCs w:val="14"/>
                <w:b w:val="1"/>
                <w:bCs w:val="1"/>
                <w:color w:val="auto"/>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740" w:type="dxa"/>
            <w:vAlign w:val="bottom"/>
            <w:gridSpan w:val="22"/>
            <w:shd w:val="clear" w:color="auto" w:fill="CCEEFF"/>
          </w:tcPr>
          <w:p>
            <w:pPr>
              <w:spacing w:after="0" w:line="152" w:lineRule="exact"/>
              <w:rPr>
                <w:rFonts w:ascii="Arial" w:cs="Arial" w:eastAsia="Arial" w:hAnsi="Arial"/>
                <w:sz w:val="14"/>
                <w:szCs w:val="14"/>
                <w:b w:val="1"/>
                <w:bCs w:val="1"/>
                <w:color w:val="0000EE"/>
              </w:rPr>
            </w:pPr>
            <w:hyperlink w:anchor="page111">
              <w:r>
                <w:rPr>
                  <w:rFonts w:ascii="Arial" w:cs="Arial" w:eastAsia="Arial" w:hAnsi="Arial"/>
                  <w:sz w:val="14"/>
                  <w:szCs w:val="14"/>
                  <w:b w:val="1"/>
                  <w:bCs w:val="1"/>
                  <w:color w:val="0000EE"/>
                </w:rPr>
                <w:t>EXPERTS</w:t>
              </w:r>
            </w:hyperlink>
          </w:p>
        </w:tc>
        <w:tc>
          <w:tcPr>
            <w:tcW w:w="5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right w:val="single" w:sz="8" w:color="CCEEFF"/>
            </w:tcBorders>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000" w:type="dxa"/>
            <w:vAlign w:val="bottom"/>
            <w:tcBorders>
              <w:bottom w:val="single" w:sz="8" w:color="0000EE"/>
            </w:tcBorders>
            <w:gridSpan w:val="15"/>
          </w:tcPr>
          <w:p>
            <w:pPr>
              <w:spacing w:after="0" w:line="139" w:lineRule="exact"/>
              <w:rPr>
                <w:rFonts w:ascii="Arial" w:cs="Arial" w:eastAsia="Arial" w:hAnsi="Arial"/>
                <w:sz w:val="14"/>
                <w:szCs w:val="14"/>
                <w:b w:val="1"/>
                <w:bCs w:val="1"/>
                <w:color w:val="0000EE"/>
              </w:rPr>
            </w:pPr>
            <w:hyperlink w:anchor="page112">
              <w:r>
                <w:rPr>
                  <w:rFonts w:ascii="Arial" w:cs="Arial" w:eastAsia="Arial" w:hAnsi="Arial"/>
                  <w:sz w:val="14"/>
                  <w:szCs w:val="14"/>
                  <w:b w:val="1"/>
                  <w:bCs w:val="1"/>
                  <w:color w:val="0000EE"/>
                </w:rPr>
                <w:t>CHANGES IN REGISTRANT’S CERTIFYING ACCOUNTANT</w:t>
              </w:r>
            </w:hyperlink>
          </w:p>
        </w:tc>
        <w:tc>
          <w:tcPr>
            <w:tcW w:w="6740" w:type="dxa"/>
            <w:vAlign w:val="bottom"/>
            <w:gridSpan w:val="7"/>
          </w:tcPr>
          <w:p>
            <w:pPr>
              <w:spacing w:after="0"/>
              <w:rPr>
                <w:sz w:val="12"/>
                <w:szCs w:val="12"/>
                <w:color w:val="auto"/>
              </w:rPr>
            </w:pPr>
          </w:p>
        </w:tc>
        <w:tc>
          <w:tcPr>
            <w:tcW w:w="5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740" w:type="dxa"/>
            <w:vAlign w:val="bottom"/>
            <w:gridSpan w:val="22"/>
            <w:shd w:val="clear" w:color="auto" w:fill="CCEEFF"/>
          </w:tcPr>
          <w:p>
            <w:pPr>
              <w:spacing w:after="0" w:line="152" w:lineRule="exact"/>
              <w:rPr>
                <w:rFonts w:ascii="Arial" w:cs="Arial" w:eastAsia="Arial" w:hAnsi="Arial"/>
                <w:sz w:val="14"/>
                <w:szCs w:val="14"/>
                <w:b w:val="1"/>
                <w:bCs w:val="1"/>
                <w:color w:val="0000EE"/>
              </w:rPr>
            </w:pPr>
            <w:hyperlink w:anchor="page113">
              <w:r>
                <w:rPr>
                  <w:rFonts w:ascii="Arial" w:cs="Arial" w:eastAsia="Arial" w:hAnsi="Arial"/>
                  <w:sz w:val="14"/>
                  <w:szCs w:val="14"/>
                  <w:b w:val="1"/>
                  <w:bCs w:val="1"/>
                  <w:color w:val="0000EE"/>
                </w:rPr>
                <w:t>WHERE YOU CAN FIND MORE INFORMATION</w:t>
              </w:r>
            </w:hyperlink>
          </w:p>
        </w:tc>
        <w:tc>
          <w:tcPr>
            <w:tcW w:w="5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340" w:type="dxa"/>
            <w:vAlign w:val="bottom"/>
            <w:tcBorders>
              <w:top w:val="single" w:sz="8" w:color="CCEEFF"/>
              <w:bottom w:val="single" w:sz="8" w:color="auto"/>
            </w:tcBorders>
          </w:tcPr>
          <w:p>
            <w:pPr>
              <w:spacing w:after="0"/>
              <w:rPr>
                <w:sz w:val="15"/>
                <w:szCs w:val="15"/>
                <w:color w:val="auto"/>
              </w:rPr>
            </w:pPr>
          </w:p>
        </w:tc>
        <w:tc>
          <w:tcPr>
            <w:tcW w:w="58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160" w:type="dxa"/>
            <w:vAlign w:val="bottom"/>
            <w:tcBorders>
              <w:top w:val="single" w:sz="8" w:color="CCEEFF"/>
              <w:bottom w:val="single" w:sz="8" w:color="auto"/>
            </w:tcBorders>
          </w:tcPr>
          <w:p>
            <w:pPr>
              <w:spacing w:after="0"/>
              <w:rPr>
                <w:sz w:val="15"/>
                <w:szCs w:val="15"/>
                <w:color w:val="auto"/>
              </w:rPr>
            </w:pPr>
          </w:p>
        </w:tc>
        <w:tc>
          <w:tcPr>
            <w:tcW w:w="660" w:type="dxa"/>
            <w:vAlign w:val="bottom"/>
            <w:tcBorders>
              <w:top w:val="single" w:sz="8" w:color="CCEEFF"/>
              <w:bottom w:val="single" w:sz="8" w:color="auto"/>
            </w:tcBorders>
          </w:tcPr>
          <w:p>
            <w:pPr>
              <w:spacing w:after="0"/>
              <w:rPr>
                <w:sz w:val="15"/>
                <w:szCs w:val="15"/>
                <w:color w:val="auto"/>
              </w:rPr>
            </w:pPr>
          </w:p>
        </w:tc>
        <w:tc>
          <w:tcPr>
            <w:tcW w:w="190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1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and the selling securityholders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spacing w:after="0" w:line="147"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4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4"/>
          <w:szCs w:val="14"/>
          <w:color w:val="auto"/>
        </w:rPr>
        <w:t>ABOUT THIS PROSPECTUS</w:t>
      </w:r>
    </w:p>
    <w:p>
      <w:pPr>
        <w:spacing w:after="0" w:line="182"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not receive any proceeds from the sale of shares of Common Stock issuable upon exercise of the Warrants pursuant to this prospectus, except with respect to amounts received by us upon the exercise of the Warrants for cash.</w:t>
      </w:r>
    </w:p>
    <w:p>
      <w:pPr>
        <w:spacing w:after="0" w:line="148"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5"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w:t>
      </w:r>
    </w:p>
    <w:p>
      <w:pPr>
        <w:spacing w:after="0" w:line="141"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3"/>
          <w:szCs w:val="13"/>
          <w:color w:val="auto"/>
        </w:rPr>
        <w:t>On October 22, 2021 (the “Closing Date”), Big Cypress Acquisition Corp., a Delaware corporation and our predecessor company (“BCYP”), consummated the previously announced business combination (the “Business Combination”), pursuant to the terms of the agreement and plan of merger, dated as of June 21, 2021 and as amended on August 12, 2021 by the first amendment to the agreement and plan of merger (as may be amended, supplemented or otherwise modified from time to time, the “Business Combination Agreement”), by and among BCYP, Big Cypress Merger Sub Inc., a Delaware corporation and wholly-owned subsidiary of BCYP (“Merger Sub”), and SAB Biotherapeutics, Inc., a Delaware corporation (“OLD SAB”).</w:t>
      </w:r>
    </w:p>
    <w:p>
      <w:pPr>
        <w:spacing w:after="0" w:line="13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Pursuant to the Business Combination Agreement, on the Closing Date, (i) Merger Sub merged with and into OLD SAB (the “Merger”), with OLD SAB as the surviving company in the Merger, and, after giving effect to such Merger, OLD SAB was renamed SAB Sciences, Inc. and became a wholly-owned subsidiary of BCYP and (ii) BCYP changed its name to “SAB Biotherapeutics, Inc.” (“NEW SAB” or the “Company” or “SAB” or “SAB Biotherapeutics” f/k/a Big Cypress Acquisition Corp).</w:t>
      </w:r>
    </w:p>
    <w:p>
      <w:pPr>
        <w:spacing w:after="0" w:line="141"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4"/>
          <w:szCs w:val="14"/>
          <w:color w:val="auto"/>
        </w:rPr>
        <w:t>In accordance with the terms and subject to the conditions of the Business Combination Agreement, at the effective time of the Merger (the “Effective Time”), (i) each share of common stock and preferred stock of OLD SAB outstanding as of immediately prior to the Effective Time was exchanged for shares of our Common Stock based on the agreed upon OLD SAB equity value of $300 million (the “Equity Value”) and a conversion rate of $10.10; (ii) each outstanding vested and unvested option to purchase shares of OLD SAB common stock was exchanged for a comparable option to purchase our Common Stock, based on the Equity Value and a conversion rate of $10.10; and (iii) holders of vested options to purchase shares of OLD SAB common stock received, in the aggregate, 1,507,124 restricted stock units (the “Earnout RSUs”) related to shares of our Common Stock. Additionally, holders of OLD SAB common stock and preferred stock are entitled to receive their pro rata share of the shares of our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Common Stock, in the aggregate.</w:t>
      </w:r>
    </w:p>
    <w:p>
      <w:pPr>
        <w:spacing w:after="0" w:line="150" w:lineRule="exact"/>
        <w:rPr>
          <w:sz w:val="20"/>
          <w:szCs w:val="20"/>
          <w:color w:val="auto"/>
        </w:rPr>
      </w:pPr>
    </w:p>
    <w:p>
      <w:pPr>
        <w:jc w:val="both"/>
        <w:ind w:firstLine="258"/>
        <w:spacing w:after="0" w:line="374" w:lineRule="auto"/>
        <w:rPr>
          <w:sz w:val="20"/>
          <w:szCs w:val="20"/>
          <w:color w:val="auto"/>
        </w:rPr>
      </w:pPr>
      <w:r>
        <w:rPr>
          <w:rFonts w:ascii="Arial" w:cs="Arial" w:eastAsia="Arial" w:hAnsi="Arial"/>
          <w:sz w:val="12"/>
          <w:szCs w:val="12"/>
          <w:color w:val="auto"/>
        </w:rPr>
        <w:t>No fraction of a share of Common Stock was issued at the Closing, and each person who was otherwise entitled to a fraction of a share of Common Stock (after aggregating all fractional shares of Common Stock that otherwise would be received by such holder) received the number of shares of Common Stock rounded in the aggregate to the nearest whole share of Common Stock.</w:t>
      </w:r>
    </w:p>
    <w:p>
      <w:pPr>
        <w:spacing w:after="0" w:line="8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Unless the context otherwise requires, “NEW SAB,” “SAB,” “SAB Biotherapeutics,” “we,” “us,” “our,” and the “Company” refer to SAB Biotherapeutics, Inc. (f/k/a Big Cypress Acquisition Corp.), a Delaware corporation and its consolidated subsidiaries. All references to “BCYP” refer to the predecessor company prior to the consummation of the Business Combination. All references to “OLD SAB” refer to SAB Biotherapeutics, Inc., a Delaware corporation acquired by Merger Sub to effect the Business Combination and the Merger. All references herein to the “Board” refer to the board of directors of the Company (the “Board”). All references herein to the “Closing” refer to the closing of the transactions contemplated by the Business Combination Agreement, including the Merger and the Business Combination (collectively, the “Transactions”).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4"/>
          <w:szCs w:val="14"/>
          <w:color w:val="auto"/>
        </w:rPr>
        <w:t>SPECIAL NOTE REGARDING FORWARD-LOOKING STATEMENTS</w:t>
      </w:r>
    </w:p>
    <w:p>
      <w:pPr>
        <w:spacing w:after="0" w:line="182"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4"/>
          <w:szCs w:val="14"/>
          <w:color w:val="auto"/>
        </w:rPr>
        <w:t>Some of the statements contained in this prospectus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These forward-looking statements include statements about future financial and operating results of the Company; benefits of the Business Combination; statements about the plans, strategies and objectives of management for future operations of the Company; statements regarding future performance; and other statements regarding the Business Combination. In some cases, you can identify these forward-looking statements by the use of terminology such as “anticipate,” “believe,” “can,” “contemplate,” “continue,” “could,” “estimate,” “expect,” “forecast,” “intends,” “may,” “might,” “outlook,” “plan,” “possible,” “potential,” “predict,” “project,” “seek,” “should,” “strive,” “target,” “will,” “would” and the negative version of these words or other comparable words or phrases, but the absence of these words does not mean that a statement is not forward-looking.</w:t>
      </w:r>
    </w:p>
    <w:p>
      <w:pPr>
        <w:spacing w:after="0" w:line="152"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These forward-looking statements are based on information available as of the date of this prospectus, and current expectations, forecasts and assumptions, and involve a number of risks and uncertainties. Accordingly, forward-looking statements in this prospectus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5"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131" w:lineRule="exact"/>
        <w:rPr>
          <w:sz w:val="20"/>
          <w:szCs w:val="20"/>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ability to maintain the Company’s listing of Common Stock on Nasdaq;</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anticipated benefits of the Business Combination;</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costs associated with the Business Combination;</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 economic conditions and their impact on demand for the Company’s platform;</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seasonal sales fluctuations;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outcome of any known and unknown litigation and regulatory proceedings;</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is a clinical-stage biopharmaceutical company and has incurred significant losses since its inception. Although the Company realized net income in the fiscal year ended December 31, 2020, it may incur losses for the foreseeable future and may not be able to generate sufficient revenue to maintain profitability;</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limited operating history makes future forecasting difficult;</w:t>
      </w:r>
    </w:p>
    <w:p>
      <w:pPr>
        <w:spacing w:after="0" w:line="182" w:lineRule="exact"/>
        <w:rPr>
          <w:rFonts w:ascii="Arial" w:cs="Arial" w:eastAsia="Arial" w:hAnsi="Arial"/>
          <w:sz w:val="14"/>
          <w:szCs w:val="14"/>
          <w:color w:val="auto"/>
        </w:rPr>
      </w:pPr>
    </w:p>
    <w:p>
      <w:pPr>
        <w:ind w:left="560" w:hanging="297"/>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product candidates are in preclinical or early-stage clinical development;</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future commercial success of the Company’s product candidates will depend on the degree of market acceptance of the Company’s potential products among physicians, patients, healthcare payers, and the medical community;</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failure to successfully identify, develop and commercialize additional products or product candidates could impair the Company’s ability to grow;</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depends upon its senior management and senior scientific staff, and their loss or unavailability could put the Company at a competitive disadvantage;</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is subject to manufacturing risks that could substantially increase the costs and limit supply of product candidates or prevent the Company from achieving a commercially viable production process;</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outbreaks of livestock diseases and other events affecting the health of the Company’s bovine herd can adversely impact the Company’s ability to conduct its operations and production of its product candidates; and</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is subject to stringent environmental regulation and potentially subject to environmental litigation, proceedings, and investigations.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foregoing list may not contain all of the forward-looking statements made in this registration statement.</w:t>
      </w:r>
    </w:p>
    <w:p>
      <w:pPr>
        <w:spacing w:after="0" w:line="182"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In addition, statements that “SAB believes” or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While forward-looking statements reflect our good faith beliefs, they are not guarantees of future performance. Except to the extent required by applicable law, we are under no obligation (and expressly disclaim any such obligation) to update or revise their forward-looking statements whether as a result of new information, future events, or otherwise. For a further discussion of these and other factors that could cause our future results, performance or transactions to differ significantly from those expressed in any forward-looking statement, please see the section titled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 You should not place undue reliance on any forward-looking statements, which are based only on information currently available to us (or to third parties making the forward-looking</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color w:val="auto"/>
        </w:rPr>
        <w:t>FREQUENTLY USED TERMS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“Amendment No. 1 to Business Combination Agreement” means the amendment to the Business Combination Agreement dated as of August 12, 2021 by and among BCYP, Merger Sub, SAB Biotherapeutics.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“Board” means the Board of Directors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“Business Combination” means the transactions contemplated by the Business Combination Agreement.</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“Business Combination Agreement” means the Business Combination Agreement, dated as of June 21, 2021 and as amended by Amendment No. 1 to Business Combination Agreement, as may be amended, by and among BCYP, Merger Sub and SAB Biotherapeutics.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“BCYP” refers to Big Cypress Acquisition Corp., a Delaware corporation, prior to the completion of the Business Combination on October 22,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“BCYP Board” means the board of directors of BCYP.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“BCYP Common Stock” means BCYP’s Common Stock, par value $0.0001 per share.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“BCYP IPO” or “IPO” means BCYP’s initial public offering of units, consummated on January 14,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“BCYP Public Stockholders” means the former holders of shares of BCYP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“Closing” means the consummation of the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“Closing Date” means the date upon which the Closing occurred.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“Code” means the Internal Revenue Code of 1986,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“DGCL” means the Delaware General Corporation Law.</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“Equity Value” means the equity value of OLD SAB, which was agreed upon to be $300 million.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“Exchange Act” means the Securities Exchange Act of 1934,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“Effective Time” means the time at which the Merger became effective.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“Founder Shares” means the 2,875,000 shares of BCYP Common Stock issued to the Initial Stockholders prior to the BCYP IPO.</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“GAAP” means United States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“Initial Stockholders” means the Sponsor, Ladenburg Thalmann &amp; Co. Inc. and certain of its employees, who collectively hold all of the Founder Shares.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“JOBS Act” means the Jumpstart Our Business Startups Act of 2012,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“Merger” means the merging of Merger Sub with and into OLD SAB, with OLD SAB surviving the Merger as a wholly owned subsidiary of BCYP.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“Merger Sub” means Big Cypress Merger Sub Inc., a Delaware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“Nasdaq” means The Nasdaq Stock Market.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“Nasdaq Global Market” means the Global Market tier of The Nasdaq Stock Market.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“NEW SAB” or the “Company” refers to BCYP after completion of the Business Combination on October 22,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“OLD SAB” means the entity formerly known as SAB Biotherapeutics, Inc. a Delaware corporation, which was renamed SAB Sciences, Inc.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“PCAOB” means the Public Company Accounting Oversight Board.</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“Private Placement Warrants” means the warrants included in the private placement of BCYP’s units, each such whole warrant is exercisable for one share of Common Stock, in accordance with its terms.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“Public Warrants” means the warrants included in the units sold in BCYP’s IPO, each of which is exercisable for one share of Common Stock, in accordance with its terms.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“OLD SAB Board” means the board of directors of OLD SAB.</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“SEC” means the U.S.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“Securities Act” means the Securities Act of 1933,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“Sponsor” means Big Cypress Holdings, LLC, a Delaware limited liability company.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“Warrants” means the Private Placement Warrants and the Public Warrants.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194945</wp:posOffset>
            </wp:positionH>
            <wp:positionV relativeFrom="page">
              <wp:posOffset>361950</wp:posOffset>
            </wp:positionV>
            <wp:extent cx="7159625" cy="4386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386580"/>
                    </a:xfrm>
                    <a:prstGeom prst="rect">
                      <a:avLst/>
                    </a:prstGeom>
                    <a:noFill/>
                  </pic:spPr>
                </pic:pic>
              </a:graphicData>
            </a:graphic>
          </wp:anchor>
        </w:drawing>
        <w:t>PROSPECTUS SUMMARY</w:t>
      </w:r>
    </w:p>
    <w:p>
      <w:pPr>
        <w:spacing w:after="0" w:line="186"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We are a clinical-stage biopharmaceutical company advancing a new class of immunotherapies based on its human polyclonal and monoclonal antibodies. Polyclonal antibody (pAb) response is a natural mode of immune response exhibited by the adaptive immune system of mammals that ensures that a single antigen or disease particle is recognized and attacked through its overlapping parts, called epitopes, by multiple antibody molecule species. A monoclonal antibody (mAb) is an antibody made by cloning a single, unique white blood cell that binds to a single epitope on an antigen. An antigen is a molecule or molecular structure on the outside of pathogen that triggers an immune response and that can be bound by an antigen-specific antibody. An epitope is the part of an antigen (disease component) that is recognized by the immune system, specifically by antibodies (immunoglobulins).</w:t>
      </w:r>
    </w:p>
    <w:p>
      <w:pPr>
        <w:spacing w:after="0" w:line="133"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We have applied advanced genetic engineering and antibody science to develop transchromosomic (Tc) Bovine™ herds that produce fully human antibodies targeted to specific diseases, including infectious diseases such as COVID-19 and influenza, immune system disorders including type 1 diabetes and organ transplantation, and cancer. The term “fully human antibodies”, as used within this document, means that the entire protein sequence of both the heavy chain and the light chain of the antibodies are the human antibody sequences as transcribed and translated by the human antibody genes contained on the human artificial chromosome. The immunoglobulin heavy chain (IgH) is the large polypeptide subunit of an antibody (immunoglobulin), the human DNA coding sequence of which is located on human chromosome 14. The immunoglobulin kappa light chain (Igκ) is the small polypeptide subunit of an antibody (immunoglobulin), the human DNA coding sequence of which is located on human chromosome 2.</w:t>
      </w:r>
    </w:p>
    <w:p>
      <w:pPr>
        <w:spacing w:after="0" w:line="147"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Our versatile and scalable DiversitAb™ platform is applicable to a wide range of human diseases, capable of producing specifically targeted, high-potency immunotherapies. The platform has been expanded and validated through funding awarded from U.S. government emerging disease and medical countermeasures programs, the most recent of which totals up to approximately $203.6 million, to support development of new investigational products for research use only, build human resources and manufacturing capacity, and advance clinical studies. We are advancing clinical programs in two indications, and preclinical development in three indications. In addition, we are executing on two research collaborations with global pharmaceutical companies, including CSL Behring and a confidential collaboration.</w:t>
      </w:r>
    </w:p>
    <w:p>
      <w:pPr>
        <w:spacing w:after="0" w:line="148"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We have focused our efforts on developing its product and platform value chain. Since our founding in 2014, we have generated revenue from government awards and commercial agreements that have provided proof-of-concept and consistency of outcomes across more than a dozen development programs. In addition, we have generated substantial results from government, academic and commercial collaborators, including testing, process development and optimization, nonclinical and clinical studies for multiple, distinct product candidates in infectious disease, oncology and immune disorders.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mailing address of our principal executive offices are located at 2100 East 54th Street North, Sioux Falls, SD 57104, and our telephone number is (605) 679-6800.</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8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BCYP was a blank check special purpose acquisition company formed for the purpose of effecting a merger, capital stock exchange, asset acquisition, stock purchase, reorganization or similar business combination with one or more businesses.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13335</wp:posOffset>
            </wp:positionV>
            <wp:extent cx="716026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440" w:top="747" w:right="439" w:bottom="1440" w:gutter="0" w:footer="0" w:header="0"/>
        </w:sectPr>
      </w:pPr>
    </w:p>
    <w:bookmarkStart w:id="8" w:name="page9"/>
    <w:bookmarkEnd w:id="8"/>
    <w:p>
      <w:pPr>
        <w:jc w:val="both"/>
        <w:ind w:firstLine="258"/>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375285</wp:posOffset>
            </wp:positionV>
            <wp:extent cx="7159625" cy="4713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713605"/>
                    </a:xfrm>
                    <a:prstGeom prst="rect">
                      <a:avLst/>
                    </a:prstGeom>
                    <a:noFill/>
                  </pic:spPr>
                </pic:pic>
              </a:graphicData>
            </a:graphic>
          </wp:anchor>
        </w:drawing>
        <w:t>The registration statement for the BCYP IPO was declared effective by the SEC on January 11, 2021 and on January 14, 2021, BCYP consummated the BCYP IPO, which consisted of the initial public offering of 11,500,000 units, which included the full exercise by the underwriters of the over-allotment option to purchase an additional 1,500,000 units, at $10.00 per unit, generating gross proceeds of $115,000,000. Each unit consisted of one share of common stock, and one-half redeemable warrant to purchase one share of common stock at a price of $11.50 per whole share. Simultaneously with the closing of the BCYP IPO, BCYP consummated the sale of 417,200 Private Placement Units, at a price of $10.00 per unit, in a private placement to our Sponsor, generating gross proceeds of $4,172,000.</w:t>
      </w:r>
    </w:p>
    <w:p>
      <w:pPr>
        <w:spacing w:after="0" w:line="148"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Following the BCYP IPO and the sale of the Private Placement Warrants, a total of $116,150,000 was placed in the Trust Account. In accordance with BCYP’s then-current Amended and Restated Certificate of Incorporation, the amounts held in the Trust Account could only be used by BCYP upon the consummation of a business combination, other than any interest earned on the funds in the Trust Account, to be released by BCYP from time to time, to pay its tax obligations.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BCYP, Merger Sub and OLD SAB consummated the Business Combination on the Closing Date pursuant to the Business Combination Agreement.</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Pursuant to the Business Combination Agreement, on the Closing Date, (i) the parties to the Business Combination Agreement consummated the Merger, and, after giving effect to such Merger, OLD SAB was renamed SAB Sciences, Inc. and became a wholly-owned subsidiary of BCYP and (ii) BCYP changed its name to “SAB Biotherapeutics, Inc.” (f/k/a Big Cypress Acquisition Corp).</w:t>
      </w:r>
    </w:p>
    <w:p>
      <w:pPr>
        <w:spacing w:after="0" w:line="141" w:lineRule="exact"/>
        <w:rPr>
          <w:sz w:val="20"/>
          <w:szCs w:val="20"/>
          <w:color w:val="auto"/>
        </w:rPr>
      </w:pPr>
    </w:p>
    <w:p>
      <w:pPr>
        <w:jc w:val="both"/>
        <w:ind w:firstLine="258"/>
        <w:spacing w:after="0" w:line="284" w:lineRule="auto"/>
        <w:rPr>
          <w:sz w:val="20"/>
          <w:szCs w:val="20"/>
          <w:color w:val="auto"/>
        </w:rPr>
      </w:pPr>
      <w:r>
        <w:rPr>
          <w:rFonts w:ascii="Arial" w:cs="Arial" w:eastAsia="Arial" w:hAnsi="Arial"/>
          <w:sz w:val="13"/>
          <w:szCs w:val="13"/>
          <w:color w:val="auto"/>
        </w:rPr>
        <w:t>In accordance with the terms and subject to the conditions of the Business Combination Agreement, at the Effective Time, (i) each share of common stock and preferred stock of OLD SAB outstanding as of immediately prior to the Effective Time was exchanged for shares of Common Stock based on the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restricted stock units (the “Earnout RSUs”) related to shares of Common Stock. Additionally, holders of OLD SAB common stock and preferred stock are entitled to receive their pro rata share of the shares of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Common Stock, in the aggregate.</w:t>
      </w:r>
    </w:p>
    <w:p>
      <w:pPr>
        <w:spacing w:after="0" w:line="135" w:lineRule="exact"/>
        <w:rPr>
          <w:sz w:val="20"/>
          <w:szCs w:val="20"/>
          <w:color w:val="auto"/>
        </w:rPr>
      </w:pPr>
    </w:p>
    <w:p>
      <w:pPr>
        <w:jc w:val="both"/>
        <w:ind w:right="20" w:firstLine="258"/>
        <w:spacing w:after="0" w:line="271" w:lineRule="auto"/>
        <w:rPr>
          <w:sz w:val="20"/>
          <w:szCs w:val="20"/>
          <w:color w:val="auto"/>
        </w:rPr>
      </w:pPr>
      <w:r>
        <w:rPr>
          <w:rFonts w:ascii="Arial" w:cs="Arial" w:eastAsia="Arial" w:hAnsi="Arial"/>
          <w:sz w:val="14"/>
          <w:szCs w:val="14"/>
          <w:color w:val="auto"/>
        </w:rPr>
        <w:t>No fraction of a share of Common Stock was issued at the Closing, and each person who was otherwise entitled to a fraction of a share of Common Stock (after aggregating all fractional shares of Common Stock that otherwise would be received by such holder) received the number of shares of Common Stock rounded in the aggregate to the nearest whole share of Common Stock.</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terms shall have the respective meanings ascribed to them below:</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“Earnout Escrow Account” means the escrow account pursuant to the Earnout Escrow Agreement to hold the Earnout Shares until they are released to the former holders of OLD SAB Common Stock and Preferred Stock or returned to the Company to be held as treasury shares.</w:t>
      </w:r>
    </w:p>
    <w:p>
      <w:pPr>
        <w:spacing w:after="0" w:line="131"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“Earnout Escrow Agreement” means the Escrow Agreement entered into Closing, by and among BCYP, Shareholder Representative Services LLC, as the stockholder representative, and Continental Stock Transfer and Trust Company.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“Earnout Period” means the five-year period following the Closing.</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“Earnout RSUs” means the restricted stock units issued to holders of vested options to purchase shares of OLD SAB common stock as contemplated in the Business Combination Agreement. Each Earnout RSU will be settled in shares of Common Stock issued to holders of vested options to purchase OLD SAB common stock subject to certain condition as contemplated in the Business Combination Agreement.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13335</wp:posOffset>
            </wp:positionV>
            <wp:extent cx="716026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440" w:top="773" w:right="439" w:bottom="1440" w:gutter="0" w:footer="0" w:header="0"/>
        </w:sectPr>
      </w:pPr>
    </w:p>
    <w:bookmarkStart w:id="9" w:name="page10"/>
    <w:bookmarkEnd w:id="9"/>
    <w:p>
      <w:pPr>
        <w:jc w:val="both"/>
        <w:ind w:firstLine="258"/>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375285</wp:posOffset>
            </wp:positionV>
            <wp:extent cx="7159625" cy="5040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5040630"/>
                    </a:xfrm>
                    <a:prstGeom prst="rect">
                      <a:avLst/>
                    </a:prstGeom>
                    <a:noFill/>
                  </pic:spPr>
                </pic:pic>
              </a:graphicData>
            </a:graphic>
          </wp:anchor>
        </w:drawing>
        <w:t>“Earnout Shares” means the shares of Common Stock issued into escrow at the Closing pursuant to the Business Combination Agreement and the Escrow Agreement, which will be returned to the Company and become treasury shares, in whole or in part, if certain conditions are not met within the Earnout Period.</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“Trust Account” means the trust account that held a portion of the proceeds of the BCYP IPO and the concurrent sale of the Private Placement Units.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86" w:lineRule="exact"/>
        <w:rPr>
          <w:sz w:val="20"/>
          <w:szCs w:val="20"/>
          <w:color w:val="auto"/>
        </w:rPr>
      </w:pPr>
    </w:p>
    <w:p>
      <w:pPr>
        <w:jc w:val="both"/>
        <w:ind w:firstLine="258"/>
        <w:spacing w:after="0" w:line="284" w:lineRule="auto"/>
        <w:rPr>
          <w:sz w:val="20"/>
          <w:szCs w:val="20"/>
          <w:color w:val="auto"/>
        </w:rPr>
      </w:pPr>
      <w:r>
        <w:rPr>
          <w:rFonts w:ascii="Arial" w:cs="Arial" w:eastAsia="Arial" w:hAnsi="Arial"/>
          <w:sz w:val="13"/>
          <w:szCs w:val="13"/>
          <w:color w:val="auto"/>
        </w:rPr>
        <w:t>We are an emerging growth company, as defined in the Jumpstart Our Business Startups Act of 2012, as amended,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this prospectus, our periodic reports and our proxy statements and exemptions from the requirements of holding a nonbinding advisory vote on executive compensation and any golden parachute payments not previously approved. We will remain an emerging growth company until the earliest of (i) the last day of the fiscal year in which the market value of our Common Stock that is held by non-affiliates equals or exceeds $700 million as of the end of that year’s second fiscal quarter, (ii) the last day of the fiscal year in which we have total annual gross revenue of $1.07 billion or more during such fiscal year (as indexed for inflation), (iii) the date on which we have issued more than $1 billion in non-convertible debt in the prior three-year period or (iv) December 31, 2026.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Risk Factors</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The below summary is qualified in its entirety by that more complete discussion of such risks and uncertainties. You should consider carefully the risks and uncertainties described under the section titled “</w:t>
      </w:r>
      <w:r>
        <w:rPr>
          <w:rFonts w:ascii="Arial" w:cs="Arial" w:eastAsia="Arial" w:hAnsi="Arial"/>
          <w:sz w:val="14"/>
          <w:szCs w:val="14"/>
          <w:i w:val="1"/>
          <w:iCs w:val="1"/>
          <w:color w:val="auto"/>
        </w:rPr>
        <w:t>Risk Factors</w:t>
      </w:r>
      <w:r>
        <w:rPr>
          <w:rFonts w:ascii="Arial" w:cs="Arial" w:eastAsia="Arial" w:hAnsi="Arial"/>
          <w:sz w:val="14"/>
          <w:szCs w:val="14"/>
          <w:color w:val="auto"/>
        </w:rPr>
        <w:t>” as part of your evaluation of an investment in our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Risks related to the Company’s business and operations, including that:</w:t>
      </w:r>
    </w:p>
    <w:p>
      <w:pPr>
        <w:spacing w:after="0" w:line="182" w:lineRule="exact"/>
        <w:rPr>
          <w:sz w:val="20"/>
          <w:szCs w:val="20"/>
          <w:color w:val="auto"/>
        </w:rPr>
      </w:pPr>
    </w:p>
    <w:p>
      <w:pPr>
        <w:ind w:left="500" w:right="20" w:hanging="252"/>
        <w:spacing w:after="0" w:line="286"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a clinical-stage biopharmaceutical company and has incurred significant losses since its inception. Although OLD SAB realized net income in the fiscal year ended December 31, 2020, we may incur losses for the foreseeable future and may not be able to generate sufficient revenue to maintain profitability;</w:t>
      </w:r>
    </w:p>
    <w:p>
      <w:pPr>
        <w:spacing w:after="0" w:line="131" w:lineRule="exact"/>
        <w:rPr>
          <w:rFonts w:ascii="Arial" w:cs="Arial" w:eastAsia="Arial" w:hAnsi="Arial"/>
          <w:sz w:val="14"/>
          <w:szCs w:val="14"/>
          <w:color w:val="auto"/>
        </w:rPr>
      </w:pPr>
    </w:p>
    <w:p>
      <w:pPr>
        <w:ind w:left="500" w:hanging="25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limited operating history makes future forecasting difficult;</w:t>
      </w:r>
    </w:p>
    <w:p>
      <w:pPr>
        <w:spacing w:after="0" w:line="182" w:lineRule="exact"/>
        <w:rPr>
          <w:rFonts w:ascii="Arial" w:cs="Arial" w:eastAsia="Arial" w:hAnsi="Arial"/>
          <w:sz w:val="14"/>
          <w:szCs w:val="14"/>
          <w:color w:val="auto"/>
        </w:rPr>
      </w:pPr>
    </w:p>
    <w:p>
      <w:pPr>
        <w:ind w:left="500" w:hanging="25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product candidates are in preclinical or early-stage clinical development;</w:t>
      </w:r>
    </w:p>
    <w:p>
      <w:pPr>
        <w:spacing w:after="0" w:line="182"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future commercial success of our product candidates will depend on the degree of market acceptance of our potential products among physicians, patients, healthcare payers, and the medical community;</w:t>
      </w:r>
    </w:p>
    <w:p>
      <w:pPr>
        <w:spacing w:after="0" w:line="131"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received awards from the U.S. Government in multiple projects over the course of operations, some of which include Government Purpose Rights, Government Limited Rights, and rights of publication;</w:t>
      </w:r>
    </w:p>
    <w:p>
      <w:pPr>
        <w:spacing w:after="0" w:line="131" w:lineRule="exact"/>
        <w:rPr>
          <w:rFonts w:ascii="Arial" w:cs="Arial" w:eastAsia="Arial" w:hAnsi="Arial"/>
          <w:sz w:val="14"/>
          <w:szCs w:val="14"/>
          <w:color w:val="auto"/>
        </w:rPr>
      </w:pPr>
    </w:p>
    <w:p>
      <w:pPr>
        <w:ind w:left="500" w:hanging="25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failure to successfully identify, develop and commercialize additional products or product candidates could impair our ability to grow;</w:t>
      </w:r>
    </w:p>
    <w:p>
      <w:pPr>
        <w:spacing w:after="0" w:line="182" w:lineRule="exact"/>
        <w:rPr>
          <w:rFonts w:ascii="Arial" w:cs="Arial" w:eastAsia="Arial" w:hAnsi="Arial"/>
          <w:sz w:val="14"/>
          <w:szCs w:val="14"/>
          <w:color w:val="auto"/>
        </w:rPr>
      </w:pPr>
    </w:p>
    <w:p>
      <w:pPr>
        <w:ind w:left="500" w:hanging="252"/>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depend upon senior management and senior scientific staff, and their loss or unavailability could put us at a competitive disadvantage;</w:t>
      </w:r>
    </w:p>
    <w:p>
      <w:pPr>
        <w:spacing w:after="0" w:line="182"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manufacturing risks that could substantially increase the costs and limit supply of product candidates or prevent us from achieving a commercially viable production process;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13335</wp:posOffset>
            </wp:positionV>
            <wp:extent cx="716026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440" w:top="773" w:right="439" w:bottom="1440" w:gutter="0" w:footer="0" w:header="0"/>
        </w:sectPr>
      </w:pPr>
    </w:p>
    <w:bookmarkStart w:id="10" w:name="page11"/>
    <w:bookmarkEnd w:id="10"/>
    <w:p>
      <w:pPr>
        <w:ind w:left="500" w:right="20" w:hanging="252"/>
        <w:spacing w:after="0" w:line="286"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194945</wp:posOffset>
            </wp:positionH>
            <wp:positionV relativeFrom="page">
              <wp:posOffset>375285</wp:posOffset>
            </wp:positionV>
            <wp:extent cx="7159625" cy="5824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5824220"/>
                    </a:xfrm>
                    <a:prstGeom prst="rect">
                      <a:avLst/>
                    </a:prstGeom>
                    <a:noFill/>
                  </pic:spPr>
                </pic:pic>
              </a:graphicData>
            </a:graphic>
          </wp:anchor>
        </w:drawing>
        <w:t>outbreaks of livestock diseases and other events affecting the health of our bovine herd can adversely impact our ability to conduct our operations and production of our product candidates; and</w:t>
      </w:r>
    </w:p>
    <w:p>
      <w:pPr>
        <w:spacing w:after="0" w:line="131" w:lineRule="exact"/>
        <w:rPr>
          <w:rFonts w:ascii="Arial" w:cs="Arial" w:eastAsia="Arial" w:hAnsi="Arial"/>
          <w:sz w:val="14"/>
          <w:szCs w:val="14"/>
          <w:color w:val="auto"/>
        </w:rPr>
      </w:pPr>
    </w:p>
    <w:p>
      <w:pPr>
        <w:ind w:left="500" w:hanging="25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subject to stringent environmental regulation and potentially subject to environmental litigation, proceedings, and investigations.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Risks related to the Company’s intellectual property and related laws and regulations, including that:</w:t>
      </w:r>
    </w:p>
    <w:p>
      <w:pPr>
        <w:spacing w:after="0" w:line="182" w:lineRule="exact"/>
        <w:rPr>
          <w:sz w:val="20"/>
          <w:szCs w:val="20"/>
          <w:color w:val="auto"/>
        </w:rPr>
      </w:pPr>
    </w:p>
    <w:p>
      <w:pPr>
        <w:ind w:left="500" w:right="20" w:hanging="252"/>
        <w:spacing w:after="0" w:line="286"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security breaches, loss of data and other disruptions could compromise sensitive information related to our business or prevent us from accessing critical information and expose us to liability, which could adversely affect our business and reputation;</w:t>
      </w:r>
    </w:p>
    <w:p>
      <w:pPr>
        <w:spacing w:after="0" w:line="131" w:lineRule="exact"/>
        <w:rPr>
          <w:rFonts w:ascii="Arial" w:cs="Arial" w:eastAsia="Arial" w:hAnsi="Arial"/>
          <w:sz w:val="14"/>
          <w:szCs w:val="14"/>
          <w:color w:val="auto"/>
        </w:rPr>
      </w:pPr>
    </w:p>
    <w:p>
      <w:pPr>
        <w:ind w:left="500" w:hanging="25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success may depend on our ability to maintain the proprietary nature of our technology;</w:t>
      </w:r>
    </w:p>
    <w:p>
      <w:pPr>
        <w:spacing w:after="0" w:line="182" w:lineRule="exact"/>
        <w:rPr>
          <w:rFonts w:ascii="Arial" w:cs="Arial" w:eastAsia="Arial" w:hAnsi="Arial"/>
          <w:sz w:val="14"/>
          <w:szCs w:val="14"/>
          <w:color w:val="auto"/>
        </w:rPr>
      </w:pPr>
    </w:p>
    <w:p>
      <w:pPr>
        <w:ind w:left="500" w:hanging="25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may become involved in litigation to protect or enforce our patents or the patents of our collaborators or licensors, which could be expensive and time-consuming; and</w:t>
      </w:r>
    </w:p>
    <w:p>
      <w:pPr>
        <w:spacing w:after="0" w:line="182" w:lineRule="exact"/>
        <w:rPr>
          <w:rFonts w:ascii="Arial" w:cs="Arial" w:eastAsia="Arial" w:hAnsi="Arial"/>
          <w:sz w:val="14"/>
          <w:szCs w:val="14"/>
          <w:color w:val="auto"/>
        </w:rPr>
      </w:pPr>
    </w:p>
    <w:p>
      <w:pPr>
        <w:ind w:left="500" w:hanging="252"/>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patent laws or the interpretation of patent laws change, our competitors may be able to develop and commercialize our discoveries.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Risks related to being a public company, including that:</w:t>
      </w:r>
    </w:p>
    <w:p>
      <w:pPr>
        <w:spacing w:after="0" w:line="182" w:lineRule="exact"/>
        <w:rPr>
          <w:sz w:val="20"/>
          <w:szCs w:val="20"/>
          <w:color w:val="auto"/>
        </w:rPr>
      </w:pPr>
    </w:p>
    <w:p>
      <w:pPr>
        <w:ind w:left="680" w:right="20" w:hanging="325"/>
        <w:spacing w:after="0" w:line="286"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 and</w:t>
      </w:r>
    </w:p>
    <w:p>
      <w:pPr>
        <w:spacing w:after="0" w:line="131" w:lineRule="exact"/>
        <w:rPr>
          <w:rFonts w:ascii="Arial" w:cs="Arial" w:eastAsia="Arial" w:hAnsi="Arial"/>
          <w:sz w:val="14"/>
          <w:szCs w:val="14"/>
          <w:color w:val="auto"/>
        </w:rPr>
      </w:pPr>
    </w:p>
    <w:p>
      <w:pPr>
        <w:ind w:left="680" w:hanging="325"/>
        <w:spacing w:after="0"/>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might not be able to comply with the continued listing standards of Nasdaq.</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Risks related to ownership of our securities, including that:</w:t>
      </w:r>
    </w:p>
    <w:p>
      <w:pPr>
        <w:spacing w:after="0" w:line="182" w:lineRule="exact"/>
        <w:rPr>
          <w:sz w:val="20"/>
          <w:szCs w:val="20"/>
          <w:color w:val="auto"/>
        </w:rPr>
      </w:pPr>
    </w:p>
    <w:p>
      <w:pPr>
        <w:ind w:left="500" w:hanging="25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insiders have substantial influence over the Company, which could limit your ability to affect the outcome of key transactions, including a change of control;</w:t>
      </w:r>
    </w:p>
    <w:p>
      <w:pPr>
        <w:spacing w:after="0" w:line="182"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issue additional shares Common Stock (including upon the exercise of warrants or conversion of preferred stock) which would increase the number of shares eligible for future resale in the public market and result in dilution to our stockholders;</w:t>
      </w:r>
    </w:p>
    <w:p>
      <w:pPr>
        <w:spacing w:after="0" w:line="131" w:lineRule="exact"/>
        <w:rPr>
          <w:rFonts w:ascii="Arial" w:cs="Arial" w:eastAsia="Arial" w:hAnsi="Arial"/>
          <w:sz w:val="14"/>
          <w:szCs w:val="14"/>
          <w:color w:val="auto"/>
        </w:rPr>
      </w:pPr>
    </w:p>
    <w:p>
      <w:pPr>
        <w:ind w:left="500" w:hanging="25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may redeem your unexpired warrants prior to their exercise at a time that is disadvantageous to you, thereby making your warrants worthless;</w:t>
      </w:r>
    </w:p>
    <w:p>
      <w:pPr>
        <w:spacing w:after="0" w:line="354" w:lineRule="exact"/>
        <w:rPr>
          <w:rFonts w:ascii="Arial" w:cs="Arial" w:eastAsia="Arial" w:hAnsi="Arial"/>
          <w:sz w:val="14"/>
          <w:szCs w:val="14"/>
          <w:color w:val="auto"/>
        </w:rPr>
      </w:pPr>
    </w:p>
    <w:p>
      <w:pPr>
        <w:ind w:left="500" w:hanging="25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actual financial position and results of operations may differ materially from the unaudited pro forma financial information included in this registration statement;</w:t>
      </w:r>
    </w:p>
    <w:p>
      <w:pPr>
        <w:spacing w:after="0" w:line="182"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will incur increased costs and demands upon management as a result of complying with the laws and regulations affecting public companies, which could adversely affect our business, financial condition, and results of operations; and</w:t>
      </w:r>
    </w:p>
    <w:p>
      <w:pPr>
        <w:spacing w:after="0" w:line="131" w:lineRule="exact"/>
        <w:rPr>
          <w:rFonts w:ascii="Arial" w:cs="Arial" w:eastAsia="Arial" w:hAnsi="Arial"/>
          <w:sz w:val="14"/>
          <w:szCs w:val="14"/>
          <w:color w:val="auto"/>
        </w:rPr>
      </w:pPr>
    </w:p>
    <w:p>
      <w:pPr>
        <w:ind w:left="500" w:right="20" w:hanging="252"/>
        <w:spacing w:after="0" w:line="286"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are an “emerging growth company,” and our election to comply with the reduced disclosure requirements as a public company may make our common stock less attractive to investors.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186"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 xml:space="preserve">Our principal executive offices are located at 2100 East 54th Street North Sioux Falls, South Dakota 57104, and our telephone number is (605)-679-6980. Our corporate website address is </w:t>
      </w:r>
      <w:r>
        <w:rPr>
          <w:rFonts w:ascii="Arial" w:cs="Arial" w:eastAsia="Arial" w:hAnsi="Arial"/>
          <w:sz w:val="14"/>
          <w:szCs w:val="14"/>
          <w:i w:val="1"/>
          <w:iCs w:val="1"/>
          <w:color w:val="auto"/>
        </w:rPr>
        <w:t>www.sabbiotherapeutics.com</w:t>
      </w:r>
      <w:r>
        <w:rPr>
          <w:rFonts w:ascii="Arial" w:cs="Arial" w:eastAsia="Arial" w:hAnsi="Arial"/>
          <w:sz w:val="14"/>
          <w:szCs w:val="14"/>
          <w:color w:val="auto"/>
        </w:rPr>
        <w:t>. Information contained on or accessible through our website is not a part of this prospectus, and the inclusion of our website address in this prospectus is an</w:t>
      </w:r>
      <w:r>
        <w:rPr>
          <w:rFonts w:ascii="Arial" w:cs="Arial" w:eastAsia="Arial" w:hAnsi="Arial"/>
          <w:sz w:val="14"/>
          <w:szCs w:val="14"/>
          <w:i w:val="1"/>
          <w:iCs w:val="1"/>
          <w:color w:val="auto"/>
        </w:rPr>
        <w:t xml:space="preserve"> </w:t>
      </w:r>
      <w:r>
        <w:rPr>
          <w:rFonts w:ascii="Arial" w:cs="Arial" w:eastAsia="Arial" w:hAnsi="Arial"/>
          <w:sz w:val="14"/>
          <w:szCs w:val="14"/>
          <w:color w:val="auto"/>
        </w:rPr>
        <w:t>inactive textual reference only.</w:t>
      </w:r>
    </w:p>
    <w:p>
      <w:pPr>
        <w:spacing w:after="0" w:line="141" w:lineRule="exact"/>
        <w:rPr>
          <w:sz w:val="20"/>
          <w:szCs w:val="20"/>
          <w:color w:val="auto"/>
        </w:rPr>
      </w:pPr>
    </w:p>
    <w:p>
      <w:pPr>
        <w:jc w:val="both"/>
        <w:ind w:firstLine="258"/>
        <w:spacing w:after="0" w:line="283" w:lineRule="auto"/>
        <w:rPr>
          <w:sz w:val="20"/>
          <w:szCs w:val="20"/>
          <w:color w:val="auto"/>
        </w:rPr>
      </w:pPr>
      <w:r>
        <w:rPr>
          <w:rFonts w:ascii="Arial" w:cs="Arial" w:eastAsia="Arial" w:hAnsi="Arial"/>
          <w:sz w:val="13"/>
          <w:szCs w:val="13"/>
          <w:color w:val="auto"/>
        </w:rPr>
        <w:t>We and our subsidiaries own or have rights to trademarks, trade names and service marks that they use in connection with the operation of their business. In addition, their names, logos and website names and addresses are their trademarks or service marks. Other trademarks, trade names and service marks appearing in this prospectus are the property of their respective</w:t>
      </w:r>
    </w:p>
    <w:p>
      <w:pPr>
        <w:spacing w:after="0" w:line="1" w:lineRule="exact"/>
        <w:rPr>
          <w:sz w:val="20"/>
          <w:szCs w:val="20"/>
          <w:color w:val="auto"/>
        </w:rPr>
      </w:pPr>
    </w:p>
    <w:p>
      <w:pPr>
        <w:jc w:val="both"/>
        <w:ind w:right="20"/>
        <w:spacing w:after="0" w:line="211" w:lineRule="auto"/>
        <w:rPr>
          <w:sz w:val="20"/>
          <w:szCs w:val="20"/>
          <w:color w:val="auto"/>
        </w:rPr>
      </w:pPr>
      <w:r>
        <w:rPr>
          <w:rFonts w:ascii="Arial" w:cs="Arial" w:eastAsia="Arial" w:hAnsi="Arial"/>
          <w:sz w:val="14"/>
          <w:szCs w:val="14"/>
          <w:color w:val="auto"/>
        </w:rPr>
        <w:t xml:space="preserve">owners. Solely for convenience, in some cases, the trademarks, trade names and service marks referred to in this prospectus are listed without the applicable ®, ™ and </w:t>
      </w:r>
      <w:r>
        <w:rPr>
          <w:rFonts w:ascii="Arial" w:cs="Arial" w:eastAsia="Arial" w:hAnsi="Arial"/>
          <w:sz w:val="23"/>
          <w:szCs w:val="23"/>
          <w:color w:val="auto"/>
          <w:vertAlign w:val="superscript"/>
        </w:rPr>
        <w:t>SM</w:t>
      </w:r>
      <w:r>
        <w:rPr>
          <w:rFonts w:ascii="Arial" w:cs="Arial" w:eastAsia="Arial" w:hAnsi="Arial"/>
          <w:sz w:val="14"/>
          <w:szCs w:val="14"/>
          <w:color w:val="auto"/>
        </w:rPr>
        <w:t xml:space="preserve"> symbols, but they will assert, to the fullest extent under applicable law, their rights to these trademarks, trade names and service marks.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13335</wp:posOffset>
            </wp:positionV>
            <wp:extent cx="716026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20"/>
          </w:cols>
          <w:pgMar w:left="440" w:top="773"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The Offering</w:t>
            </w:r>
          </w:p>
        </w:tc>
      </w:tr>
      <w:tr>
        <w:trPr>
          <w:trHeight w:val="334"/>
        </w:trPr>
        <w:tc>
          <w:tcPr>
            <w:tcW w:w="4220" w:type="dxa"/>
            <w:vAlign w:val="bottom"/>
          </w:tcPr>
          <w:p>
            <w:pPr>
              <w:spacing w:after="0"/>
              <w:rPr>
                <w:sz w:val="20"/>
                <w:szCs w:val="20"/>
                <w:color w:val="auto"/>
              </w:rPr>
            </w:pPr>
            <w:r>
              <w:rPr>
                <w:rFonts w:ascii="Arial" w:cs="Arial" w:eastAsia="Arial" w:hAnsi="Arial"/>
                <w:sz w:val="14"/>
                <w:szCs w:val="14"/>
                <w:b w:val="1"/>
                <w:bCs w:val="1"/>
                <w:color w:val="auto"/>
              </w:rPr>
              <w:t>Shares of Common Stock offered by the Company</w:t>
            </w: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2"/>
              </w:rPr>
              <w:t>We are registering the issuance by us of 5,958,600 shares of Common Stock, which consists of (i) the issuance</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3"/>
              </w:rPr>
              <w:t>of up to 208,600 shares of Common Stock upon exercise of 208,600 warrants issued in a private placement to</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Big Cypress Holdings LLC (the “Sponsor”), in connection with the initial public offering of Big Cypress</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9"/>
              </w:rPr>
              <w:t>Acquisition Corp. (the “Private Placement Warrants”), and (ii) the issuance of up to 5,750,000 shares of</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7"/>
              </w:rPr>
              <w:t>Common Stock upon the exercise of 5,750,000 warrants issued in the initial public offering of Big Cypress</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4"/>
              </w:rPr>
              <w:t>Acquisition Corp. (the “Public Warrants,” and, together with the Private Placement Warrants, the “Warrants”).</w:t>
            </w:r>
          </w:p>
        </w:tc>
      </w:tr>
      <w:tr>
        <w:trPr>
          <w:trHeight w:val="343"/>
        </w:trPr>
        <w:tc>
          <w:tcPr>
            <w:tcW w:w="422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The exercise price of the Warrants is $11.50 per share.</w:t>
            </w:r>
          </w:p>
        </w:tc>
      </w:tr>
      <w:tr>
        <w:trPr>
          <w:trHeight w:val="343"/>
        </w:trPr>
        <w:tc>
          <w:tcPr>
            <w:tcW w:w="422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We will receive the proceeds from the exercise of any Warrants for cash.</w:t>
            </w:r>
          </w:p>
        </w:tc>
      </w:tr>
      <w:tr>
        <w:trPr>
          <w:trHeight w:val="334"/>
        </w:trPr>
        <w:tc>
          <w:tcPr>
            <w:tcW w:w="422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3"/>
              </w:rPr>
              <w:t>We will receive up to an aggregate of approximately $68.5 million from the exercise of the Warrants, assuming</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4"/>
              </w:rPr>
              <w:t>the exercise in full of all of the Warrants for cash. We expect to use the net proceeds from the exercise of the</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Warrants for general corporate purposes. See the section titled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tc>
      </w:tr>
      <w:tr>
        <w:trPr>
          <w:trHeight w:val="334"/>
        </w:trPr>
        <w:tc>
          <w:tcPr>
            <w:tcW w:w="4220" w:type="dxa"/>
            <w:vAlign w:val="bottom"/>
          </w:tcPr>
          <w:p>
            <w:pPr>
              <w:spacing w:after="0"/>
              <w:rPr>
                <w:sz w:val="20"/>
                <w:szCs w:val="20"/>
                <w:color w:val="auto"/>
              </w:rPr>
            </w:pPr>
            <w:r>
              <w:rPr>
                <w:rFonts w:ascii="Arial" w:cs="Arial" w:eastAsia="Arial" w:hAnsi="Arial"/>
                <w:sz w:val="14"/>
                <w:szCs w:val="14"/>
                <w:b w:val="1"/>
                <w:bCs w:val="1"/>
                <w:color w:val="auto"/>
                <w:w w:val="99"/>
              </w:rPr>
              <w:t>Shares of Common Stock offered by the selling securityholders</w:t>
            </w:r>
          </w:p>
        </w:tc>
        <w:tc>
          <w:tcPr>
            <w:tcW w:w="860" w:type="dxa"/>
            <w:vAlign w:val="bottom"/>
          </w:tcPr>
          <w:p>
            <w:pPr>
              <w:ind w:left="400"/>
              <w:spacing w:after="0"/>
              <w:rPr>
                <w:sz w:val="20"/>
                <w:szCs w:val="20"/>
                <w:color w:val="auto"/>
              </w:rPr>
            </w:pPr>
            <w:r>
              <w:rPr>
                <w:rFonts w:ascii="Arial" w:cs="Arial" w:eastAsia="Arial" w:hAnsi="Arial"/>
                <w:sz w:val="14"/>
                <w:szCs w:val="14"/>
                <w:color w:val="auto"/>
                <w:w w:val="97"/>
              </w:rPr>
              <w:t>We are</w:t>
            </w:r>
          </w:p>
        </w:tc>
        <w:tc>
          <w:tcPr>
            <w:tcW w:w="5920" w:type="dxa"/>
            <w:vAlign w:val="bottom"/>
          </w:tcPr>
          <w:p>
            <w:pPr>
              <w:ind w:left="40"/>
              <w:spacing w:after="0"/>
              <w:rPr>
                <w:sz w:val="20"/>
                <w:szCs w:val="20"/>
                <w:color w:val="auto"/>
              </w:rPr>
            </w:pPr>
            <w:r>
              <w:rPr>
                <w:rFonts w:ascii="Arial" w:cs="Arial" w:eastAsia="Arial" w:hAnsi="Arial"/>
                <w:sz w:val="14"/>
                <w:szCs w:val="14"/>
                <w:color w:val="auto"/>
                <w:w w:val="99"/>
              </w:rPr>
              <w:t>registering the resale by the selling securityholders named in this prospectus, or their permitted</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transferees, and aggregate of 20,392,901 shares of Common Stock, consisting of:</w:t>
            </w:r>
          </w:p>
        </w:tc>
      </w:tr>
      <w:tr>
        <w:trPr>
          <w:trHeight w:val="343"/>
        </w:trPr>
        <w:tc>
          <w:tcPr>
            <w:tcW w:w="422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rPr>
              <w:t>●</w:t>
            </w:r>
          </w:p>
        </w:tc>
        <w:tc>
          <w:tcPr>
            <w:tcW w:w="5920" w:type="dxa"/>
            <w:vAlign w:val="bottom"/>
          </w:tcPr>
          <w:p>
            <w:pPr>
              <w:ind w:left="180"/>
              <w:spacing w:after="0"/>
              <w:rPr>
                <w:sz w:val="20"/>
                <w:szCs w:val="20"/>
                <w:color w:val="auto"/>
              </w:rPr>
            </w:pPr>
            <w:r>
              <w:rPr>
                <w:rFonts w:ascii="Arial" w:cs="Arial" w:eastAsia="Arial" w:hAnsi="Arial"/>
                <w:sz w:val="14"/>
                <w:szCs w:val="14"/>
                <w:color w:val="auto"/>
              </w:rPr>
              <w:t>up to 3,047,825 shares held by the Sponsor;</w:t>
            </w:r>
          </w:p>
        </w:tc>
      </w:tr>
      <w:tr>
        <w:trPr>
          <w:trHeight w:val="343"/>
        </w:trPr>
        <w:tc>
          <w:tcPr>
            <w:tcW w:w="422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rPr>
              <w:t>●</w:t>
            </w:r>
          </w:p>
        </w:tc>
        <w:tc>
          <w:tcPr>
            <w:tcW w:w="5920" w:type="dxa"/>
            <w:vAlign w:val="bottom"/>
          </w:tcPr>
          <w:p>
            <w:pPr>
              <w:ind w:left="180"/>
              <w:spacing w:after="0"/>
              <w:rPr>
                <w:sz w:val="20"/>
                <w:szCs w:val="20"/>
                <w:color w:val="auto"/>
              </w:rPr>
            </w:pPr>
            <w:r>
              <w:rPr>
                <w:rFonts w:ascii="Arial" w:cs="Arial" w:eastAsia="Arial" w:hAnsi="Arial"/>
                <w:sz w:val="14"/>
                <w:szCs w:val="14"/>
                <w:color w:val="auto"/>
              </w:rPr>
              <w:t>up to 10,685,978 shares held by a member of the Board;</w:t>
            </w:r>
          </w:p>
        </w:tc>
      </w:tr>
      <w:tr>
        <w:trPr>
          <w:trHeight w:val="343"/>
        </w:trPr>
        <w:tc>
          <w:tcPr>
            <w:tcW w:w="422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rPr>
              <w:t>●</w:t>
            </w:r>
          </w:p>
        </w:tc>
        <w:tc>
          <w:tcPr>
            <w:tcW w:w="5920" w:type="dxa"/>
            <w:vAlign w:val="bottom"/>
          </w:tcPr>
          <w:p>
            <w:pPr>
              <w:ind w:left="180"/>
              <w:spacing w:after="0"/>
              <w:rPr>
                <w:sz w:val="20"/>
                <w:szCs w:val="20"/>
                <w:color w:val="auto"/>
              </w:rPr>
            </w:pPr>
            <w:r>
              <w:rPr>
                <w:rFonts w:ascii="Arial" w:cs="Arial" w:eastAsia="Arial" w:hAnsi="Arial"/>
                <w:sz w:val="14"/>
                <w:szCs w:val="14"/>
                <w:color w:val="auto"/>
              </w:rPr>
              <w:t>up to 244,373 shares held by Ladenburg and certain of its employees;</w:t>
            </w:r>
          </w:p>
        </w:tc>
      </w:tr>
      <w:tr>
        <w:trPr>
          <w:trHeight w:val="343"/>
        </w:trPr>
        <w:tc>
          <w:tcPr>
            <w:tcW w:w="422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rPr>
              <w:t>●</w:t>
            </w:r>
          </w:p>
        </w:tc>
        <w:tc>
          <w:tcPr>
            <w:tcW w:w="5920" w:type="dxa"/>
            <w:vAlign w:val="bottom"/>
          </w:tcPr>
          <w:p>
            <w:pPr>
              <w:ind w:left="180"/>
              <w:spacing w:after="0"/>
              <w:rPr>
                <w:sz w:val="20"/>
                <w:szCs w:val="20"/>
                <w:color w:val="auto"/>
              </w:rPr>
            </w:pPr>
            <w:r>
              <w:rPr>
                <w:rFonts w:ascii="Arial" w:cs="Arial" w:eastAsia="Arial" w:hAnsi="Arial"/>
                <w:sz w:val="14"/>
                <w:szCs w:val="14"/>
                <w:color w:val="auto"/>
              </w:rPr>
              <w:t>up to 247,525 shares held by Chardan and certain of its employees and designees; and</w:t>
            </w:r>
          </w:p>
        </w:tc>
      </w:tr>
      <w:tr>
        <w:trPr>
          <w:trHeight w:val="343"/>
        </w:trPr>
        <w:tc>
          <w:tcPr>
            <w:tcW w:w="422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Arial" w:cs="Arial" w:eastAsia="Arial" w:hAnsi="Arial"/>
                <w:sz w:val="14"/>
                <w:szCs w:val="14"/>
                <w:color w:val="auto"/>
              </w:rPr>
              <w:t>●</w:t>
            </w:r>
          </w:p>
        </w:tc>
        <w:tc>
          <w:tcPr>
            <w:tcW w:w="5920" w:type="dxa"/>
            <w:vAlign w:val="bottom"/>
          </w:tcPr>
          <w:p>
            <w:pPr>
              <w:ind w:left="180"/>
              <w:spacing w:after="0"/>
              <w:rPr>
                <w:sz w:val="20"/>
                <w:szCs w:val="20"/>
                <w:color w:val="auto"/>
              </w:rPr>
            </w:pPr>
            <w:r>
              <w:rPr>
                <w:rFonts w:ascii="Arial" w:cs="Arial" w:eastAsia="Arial" w:hAnsi="Arial"/>
                <w:sz w:val="14"/>
                <w:szCs w:val="14"/>
                <w:color w:val="auto"/>
              </w:rPr>
              <w:t>up to 5,958,600 shares of Common Stock issuable upon the exercise of the Warrants.</w:t>
            </w:r>
          </w:p>
        </w:tc>
      </w:tr>
      <w:tr>
        <w:trPr>
          <w:trHeight w:val="334"/>
        </w:trPr>
        <w:tc>
          <w:tcPr>
            <w:tcW w:w="422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We will not receive any proceeds from the sale of shares by the selling securityholders pursuant to this</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rPr>
              <w:t>prospectus.</w:t>
            </w:r>
          </w:p>
        </w:tc>
      </w:tr>
      <w:tr>
        <w:trPr>
          <w:trHeight w:val="334"/>
        </w:trPr>
        <w:tc>
          <w:tcPr>
            <w:tcW w:w="4220" w:type="dxa"/>
            <w:vAlign w:val="bottom"/>
          </w:tcPr>
          <w:p>
            <w:pPr>
              <w:spacing w:after="0"/>
              <w:rPr>
                <w:sz w:val="20"/>
                <w:szCs w:val="20"/>
                <w:color w:val="auto"/>
              </w:rPr>
            </w:pPr>
            <w:r>
              <w:rPr>
                <w:rFonts w:ascii="Arial" w:cs="Arial" w:eastAsia="Arial" w:hAnsi="Arial"/>
                <w:sz w:val="14"/>
                <w:szCs w:val="14"/>
                <w:b w:val="1"/>
                <w:bCs w:val="1"/>
                <w:color w:val="auto"/>
              </w:rPr>
              <w:t>Redemption</w:t>
            </w: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9"/>
              </w:rPr>
              <w:t>The Public Warrants are redeemable in certain circumstances. See the section titled “</w:t>
            </w:r>
            <w:r>
              <w:rPr>
                <w:rFonts w:ascii="Arial" w:cs="Arial" w:eastAsia="Arial" w:hAnsi="Arial"/>
                <w:sz w:val="14"/>
                <w:szCs w:val="14"/>
                <w:i w:val="1"/>
                <w:iCs w:val="1"/>
                <w:color w:val="auto"/>
                <w:w w:val="99"/>
              </w:rPr>
              <w:t>Description of Our</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i w:val="1"/>
                <w:iCs w:val="1"/>
                <w:color w:val="auto"/>
              </w:rPr>
              <w:t>Securities — Warrants.</w:t>
            </w:r>
            <w:r>
              <w:rPr>
                <w:rFonts w:ascii="Arial" w:cs="Arial" w:eastAsia="Arial" w:hAnsi="Arial"/>
                <w:sz w:val="14"/>
                <w:szCs w:val="14"/>
                <w:color w:val="auto"/>
              </w:rPr>
              <w:t>”</w:t>
            </w:r>
          </w:p>
        </w:tc>
      </w:tr>
      <w:tr>
        <w:trPr>
          <w:trHeight w:val="334"/>
        </w:trPr>
        <w:tc>
          <w:tcPr>
            <w:tcW w:w="4220" w:type="dxa"/>
            <w:vAlign w:val="bottom"/>
          </w:tcPr>
          <w:p>
            <w:pPr>
              <w:spacing w:after="0"/>
              <w:rPr>
                <w:sz w:val="20"/>
                <w:szCs w:val="20"/>
                <w:color w:val="auto"/>
              </w:rPr>
            </w:pPr>
            <w:r>
              <w:rPr>
                <w:rFonts w:ascii="Arial" w:cs="Arial" w:eastAsia="Arial" w:hAnsi="Arial"/>
                <w:sz w:val="14"/>
                <w:szCs w:val="14"/>
                <w:b w:val="1"/>
                <w:bCs w:val="1"/>
                <w:color w:val="auto"/>
              </w:rPr>
              <w:t>Lock-up agreements</w:t>
            </w: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5"/>
              </w:rPr>
              <w:t>Certain of our securityholders are subject to certain restrictions on transfer until the termination of applicable</w:t>
            </w:r>
          </w:p>
        </w:tc>
      </w:tr>
      <w:tr>
        <w:trPr>
          <w:trHeight w:val="172"/>
        </w:trPr>
        <w:tc>
          <w:tcPr>
            <w:tcW w:w="4220" w:type="dxa"/>
            <w:vAlign w:val="bottom"/>
          </w:tcPr>
          <w:p>
            <w:pPr>
              <w:spacing w:after="0"/>
              <w:rPr>
                <w:sz w:val="14"/>
                <w:szCs w:val="14"/>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color w:val="auto"/>
                <w:w w:val="99"/>
              </w:rPr>
              <w:t>lock-up periods. See the section titled “</w:t>
            </w:r>
            <w:r>
              <w:rPr>
                <w:rFonts w:ascii="Arial" w:cs="Arial" w:eastAsia="Arial" w:hAnsi="Arial"/>
                <w:sz w:val="14"/>
                <w:szCs w:val="14"/>
                <w:i w:val="1"/>
                <w:iCs w:val="1"/>
                <w:color w:val="auto"/>
                <w:w w:val="99"/>
              </w:rPr>
              <w:t>Certain Relationships and Related Party Transactions - Lock-Up</w:t>
            </w:r>
          </w:p>
        </w:tc>
      </w:tr>
      <w:tr>
        <w:trPr>
          <w:trHeight w:val="181"/>
        </w:trPr>
        <w:tc>
          <w:tcPr>
            <w:tcW w:w="4220" w:type="dxa"/>
            <w:vAlign w:val="bottom"/>
          </w:tcPr>
          <w:p>
            <w:pPr>
              <w:spacing w:after="0"/>
              <w:rPr>
                <w:sz w:val="15"/>
                <w:szCs w:val="15"/>
                <w:color w:val="auto"/>
              </w:rPr>
            </w:pPr>
          </w:p>
        </w:tc>
        <w:tc>
          <w:tcPr>
            <w:tcW w:w="6780" w:type="dxa"/>
            <w:vAlign w:val="bottom"/>
            <w:gridSpan w:val="2"/>
          </w:tcPr>
          <w:p>
            <w:pPr>
              <w:ind w:left="400"/>
              <w:spacing w:after="0"/>
              <w:rPr>
                <w:sz w:val="20"/>
                <w:szCs w:val="20"/>
                <w:color w:val="auto"/>
              </w:rPr>
            </w:pPr>
            <w:r>
              <w:rPr>
                <w:rFonts w:ascii="Arial" w:cs="Arial" w:eastAsia="Arial" w:hAnsi="Arial"/>
                <w:sz w:val="14"/>
                <w:szCs w:val="14"/>
                <w:i w:val="1"/>
                <w:iCs w:val="1"/>
                <w:color w:val="auto"/>
              </w:rPr>
              <w:t>Agreements.</w:t>
            </w:r>
            <w:r>
              <w:rPr>
                <w:rFonts w:ascii="Arial" w:cs="Arial" w:eastAsia="Arial" w:hAnsi="Arial"/>
                <w:sz w:val="14"/>
                <w:szCs w:val="14"/>
                <w:color w:val="auto"/>
              </w:rPr>
              <w:t>”</w:t>
            </w:r>
          </w:p>
        </w:tc>
      </w:tr>
    </w:tbl>
    <w:p>
      <w:pPr>
        <w:ind w:left="400"/>
        <w:spacing w:after="0"/>
        <w:rPr>
          <w:sz w:val="20"/>
          <w:szCs w:val="20"/>
          <w:color w:val="auto"/>
        </w:rPr>
        <w:sectPr>
          <w:pgSz w:w="11900" w:h="16838" w:orient="portrait"/>
          <w:cols w:equalWidth="0" w:num="1">
            <w:col w:w="11000"/>
          </w:cols>
          <w:pgMar w:left="440" w:top="769" w:right="4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375285</wp:posOffset>
            </wp:positionV>
            <wp:extent cx="7159625" cy="5803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58039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Terms of the offering</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ticker symbols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selling securityholders will determine when and how they will dispose of the securities registered for resale under this prospectus.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We will not receive any proceeds from the sale of shares Common Stock by the selling securityholders.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Before investing in our securities, you should carefully read and consider the information set forth in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 beginning on page 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“SABS” and “SABSW”</w:t>
      </w:r>
    </w:p>
    <w:p>
      <w:pPr>
        <w:spacing w:after="0" w:line="182" w:lineRule="exact"/>
        <w:rPr>
          <w:sz w:val="20"/>
          <w:szCs w:val="20"/>
          <w:color w:val="auto"/>
        </w:rPr>
      </w:pPr>
    </w:p>
    <w:p>
      <w:pPr>
        <w:sectPr>
          <w:pgSz w:w="11900" w:h="16838" w:orient="portrait"/>
          <w:cols w:equalWidth="0" w:num="2">
            <w:col w:w="3900" w:space="720"/>
            <w:col w:w="6380"/>
          </w:cols>
          <w:pgMar w:left="440" w:top="769" w:right="459" w:bottom="1440" w:gutter="0" w:footer="0" w:header="0"/>
          <w:type w:val="continuous"/>
        </w:sectPr>
      </w:pPr>
    </w:p>
    <w:p>
      <w:pPr>
        <w:ind w:left="500"/>
        <w:spacing w:after="0"/>
        <w:rPr>
          <w:sz w:val="20"/>
          <w:szCs w:val="20"/>
          <w:color w:val="auto"/>
        </w:rPr>
      </w:pPr>
      <w:r>
        <w:rPr>
          <w:rFonts w:ascii="Arial" w:cs="Arial" w:eastAsia="Arial" w:hAnsi="Arial"/>
          <w:sz w:val="13"/>
          <w:szCs w:val="13"/>
          <w:color w:val="auto"/>
        </w:rPr>
        <w:t>For additional information concerning the offering, see “</w:t>
      </w:r>
      <w:r>
        <w:rPr>
          <w:rFonts w:ascii="Arial" w:cs="Arial" w:eastAsia="Arial" w:hAnsi="Arial"/>
          <w:sz w:val="13"/>
          <w:szCs w:val="13"/>
          <w:i w:val="1"/>
          <w:iCs w:val="1"/>
          <w:color w:val="auto"/>
        </w:rPr>
        <w:t>Plan of Distribution</w:t>
      </w:r>
      <w:r>
        <w:rPr>
          <w:rFonts w:ascii="Arial" w:cs="Arial" w:eastAsia="Arial" w:hAnsi="Arial"/>
          <w:sz w:val="13"/>
          <w:szCs w:val="13"/>
          <w:color w:val="auto"/>
        </w:rPr>
        <w:t>” beginning on page 101.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13335</wp:posOffset>
            </wp:positionV>
            <wp:extent cx="716026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000"/>
          </w:cols>
          <w:pgMar w:left="440" w:top="769" w:right="4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RISK FACTORS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i w:val="1"/>
          <w:iCs w:val="1"/>
          <w:color w:val="auto"/>
        </w:rPr>
        <w:t>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prospectus, including our financial statements and related notes included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References to “we,” “us” and “our” refers to SAB Biotherapeutics, Inc.</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We are a clinical-stage biopharmaceutical company and have incurred significant losses since its inception. Although we realized net income in the fiscal year ended December 31, 2020, we may incur losses for the foreseeable future and may not be able to generate sufficient revenue to maintain profitability.</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are a clinical-stage biopharmaceutical company. We expect to experience variability in revenue and expenses which makes it difficult to evaluate our business and prospects. As such, we have and anticipate that we will continue to incur significant operating losses in the foreseeable future. Our historical losses resulted principally from costs incurred in research and development, preclinical testing, clinical development of product candidates as well as costs incurred for research programs and from general and administrative costs associated with these operations. In the future, we intend to continue to conduct research and development, preclinical testing, clinical trials and regulatory compliance activities that, together with anticipated general and administrative expenses, will result in incurring further significant losses for the next several years. We expect that our operating expenses will continue to increase significantly, including as we:</w:t>
      </w:r>
    </w:p>
    <w:p>
      <w:pPr>
        <w:spacing w:after="0" w:line="133" w:lineRule="exact"/>
        <w:rPr>
          <w:sz w:val="20"/>
          <w:szCs w:val="20"/>
          <w:color w:val="auto"/>
        </w:rPr>
      </w:pPr>
    </w:p>
    <w:p>
      <w:pPr>
        <w:ind w:left="520" w:hanging="257"/>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continue the research and development of our clinical- and preclinical-stage product candidates and discovery stage programs, including the clinical trials of SAB-185 and SAB-176;</w:t>
      </w:r>
    </w:p>
    <w:p>
      <w:pPr>
        <w:spacing w:after="0" w:line="193" w:lineRule="exact"/>
        <w:rPr>
          <w:rFonts w:ascii="Arial" w:cs="Arial" w:eastAsia="Arial" w:hAnsi="Arial"/>
          <w:sz w:val="13"/>
          <w:szCs w:val="13"/>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invests in our technology and platform;</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seek regulatory approvals for any product candidates that successfully complete clinical trials;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market and sell our solutions to existing and new partners;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attract, hire, and retain qualified personnel;</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maintain, expand, enforce, protect, and defend our intellectual property portfolio;</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create additional infrastructure to support operations;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add operational, financial, and management information systems and personnel to support operations as a public company;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experience any delays or encounter issues with any of the above.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expenses could increase beyond expectations for a variety of reasons, including as a result of our growth strategy and the increase in the scope and complexity of our operations. In executing our strategy and plans to invest in enhancing and scaling our business, we will need to generate significant additional revenue to achieve and maintain future profitability. We may not be able to generate sufficient revenue to achieve profitability and our recent and historical growth should not be considered indicative of future performance.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SAB Biotherapeutics’ limited operating history makes future forecasting difficult.</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commenced operations in April 2014. As a result of our limited operating history, it is difficult to accurately forecast revenues or to predict operating expenses. Our current and future expense estimates are based, in large part, on our estimates of future revenue and on our research, development and commercialization plans. In particular, we plan to increase operating expenses significantly in order to expand our research, development and sales and marketing operations. To the extent that these expenses precede increased revenue, our business, results of operations and financial condition would be materially adversely affected. We may be unable to, or may elect not to, adjust spending quickly enough to offset any unexpected revenue shortfall. Therefore, any significant shortfall in revenue in relation to our expectations would also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is in early development efforts and its product candidates are in clinical and preclinical development.</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currently do not have any products that have gained regulatory approval. Our ability to generate product revenues, which we does not expect will occur for several years, if ever, will depend heavily on the successful development and eventual commercialization of our product candidates. As a result, our business is substantially dependent on the ability to successfully complete the development of and obtain regulatory approval for our product candidates.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not yet demonstrated an ability to successfully overcome many of the risks and uncertainties frequently encountered by companies in new and rapidly evolving fields. If we are unsuccessful in accomplishing the numerous and complex objectives in developing our product candidates, we may not be able to successfully develop and commercialize our product candidates, and our business will suffer.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SAB Biotherapeutics encounters difficulties enrolling patients in clinical trials, clinical trials of SAB Biotherapeutics’ product candidates may be delayed or otherwise adversely affected.</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timely completion of clinical trials in accordance with their protocols depends, among other things, on our ability to enroll a sufficient number of patients who remain in the trial until conclusion. We may experience difficulties in patient enrollment in clinical trials for a variety of reasons, including:</w:t>
      </w:r>
    </w:p>
    <w:p>
      <w:pPr>
        <w:spacing w:after="0" w:line="131" w:lineRule="exact"/>
        <w:rPr>
          <w:sz w:val="20"/>
          <w:szCs w:val="20"/>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size and nature of the patient population;</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design of the trial, including the patient eligibility criteria defined in the protocol;</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size of the study population required for analysis of the trial’s primary endpoints;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proximity of patients to trial sites;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recruit clinical trial investigators with the appropriate competencies and experience;</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competing clinical trials for similar therapies or other new therapeutics;</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obtain and maintain patient consents;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risk that patients enrolled in clinical trials will not complete a clinical trial;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availability of approved therapies that are similar in mechanism to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4"/>
          <w:szCs w:val="14"/>
          <w:color w:val="auto"/>
        </w:rPr>
        <w:t>Our failure to timely complete clinical trials would delay the approval and commercialization of our product candidates, impair the commercial performance of our product candidates, and consequently harm our business and results of operations.</w:t>
      </w:r>
    </w:p>
    <w:p>
      <w:pPr>
        <w:spacing w:after="0" w:line="131" w:lineRule="exact"/>
        <w:rPr>
          <w:sz w:val="20"/>
          <w:szCs w:val="20"/>
          <w:color w:val="auto"/>
        </w:rPr>
      </w:pPr>
    </w:p>
    <w:p>
      <w:pPr>
        <w:jc w:val="both"/>
        <w:spacing w:after="0" w:line="336" w:lineRule="auto"/>
        <w:rPr>
          <w:sz w:val="20"/>
          <w:szCs w:val="20"/>
          <w:color w:val="auto"/>
        </w:rPr>
      </w:pPr>
      <w:r>
        <w:rPr>
          <w:rFonts w:ascii="Arial" w:cs="Arial" w:eastAsia="Arial" w:hAnsi="Arial"/>
          <w:sz w:val="12"/>
          <w:szCs w:val="12"/>
          <w:b w:val="1"/>
          <w:bCs w:val="1"/>
          <w:i w:val="1"/>
          <w:iCs w:val="1"/>
          <w:color w:val="auto"/>
        </w:rPr>
        <w:t>SAB Biotherapeutics’ preclinical studies and clinical trials may fail to demonstrate substantial evidence of the safety and efficacy of its product candidates, or serious adverse or unacceptable side effects may be identified during the development of its product candidates, which could prevent, delay or limit the scope of regulatory approval of SAB Biotherapeutics’ product candidates, limit their commercialization, increase costs or necessitate the abandonment or limitation of the development of some of SAB Biotherapeutics’ product candidates.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To obtain the requisite regulatory approvals for the commercial sale of our product candidates, we must demonstrate through lengthy, complex and expensive preclinical testing and clinical trials that such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may fail to demonstrate with substantial evidence from adequate and well-controlled trials, and to the satisfaction of the FDA or comparable foreign regulatory authorities, that our product candidates are safe and potent for their intended uses.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The future commercial success of SAB Biotherapeutics’ product candidates will depend on the degree of market acceptance of SAB Biotherapeutics’ potential products among physicians, patients, healthcare payers, and the medical community.</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When available on the market, our products may not achieve an adequate level of acceptance by physicians, patients and the medical community, which may result in us failing to achieve profitability. In addition, efforts to educate the medical community and third-party payers on the benefits of our products may require significant resources and may never be successful, which would prevent us from generating significant revenues or becoming profitable.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successfully identify, develop and commercialize additional products or product candidates could impair SAB Biotherapeutics’ ability to grow.</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Although a substantial amount of our efforts will focus on the continued preclinical and clinical testing and potential approval of product candidates in our current pipeline, a key element of long-term growth strategy is to develop and market additional products and product candidates. Because we have limited financial and managerial resources, research programs to identify product candidates will require substantial additional technical, financial and human resources, whether or not any product candidates are ultimately identified. The success of this strategy depends partly upon our ability to identify, select and develop promising product candidates and products. Our technology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and other comparable foreign regulatory authorities and achieve market acceptance. If we do not successfully develop and commercialize product candidates based upon its technological approach, we may not be able to obtain product or collaboration revenues in future periods, which would adversely affect our business, prospects, financial condition and results of operations.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long-term growth strategy to develop and market additional products and product candidates is heavily dependent on precise, accurate and reliable scientific data to identify, select and develop promising pharmaceutical product candidates and products. Our business decisions may therefore be adversely influenced by improper or fraudulent scientific data sourced from third parties. Any irregularities in the scientific data used by us to determine our focus in research and development of product candidates and products could have a material adverse effect on our business, prospects,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SAB Biotherapeutics needs to attract and retain highly skilled personnel; strategic partners and SAB Biotherapeutics may be unable to effectively manage its growth with its limited resources.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have limited human resources and its future success will depend in part on our ability to attract, train, retain and motivate highly skilled executive level management, research and development, and sales personnel and to establish and maintain effective strategic alliances with key companies in our industry. Competition is intense for many of these types of personnel from other companies, consulting firms and more established organizations, many of which have significantly larger operations and greater financial, marketing, human, and other resources. We may not be successful in attracting and retaining qualified personnel on a timely basis, on competitive terms or at all. If we are not successful in attracting and retaining these personnel, our business, prospects, financial condition and results of operations may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anticipates adding new employees and SAB Biotherapeutics will have to integrate such new employees into its operations</w:t>
      </w:r>
      <w:r>
        <w:rPr>
          <w:rFonts w:ascii="Arial" w:cs="Arial" w:eastAsia="Arial" w:hAnsi="Arial"/>
          <w:sz w:val="14"/>
          <w:szCs w:val="14"/>
          <w:i w:val="1"/>
          <w:iCs w:val="1"/>
          <w:color w:val="auto"/>
        </w:rPr>
        <w: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officers and directors may not possess all of the skills or experience necessary to successfully implement our business plan. Further, we anticipate hiring new employees. Failure to fully integrate new employees into our operations could have a material adverse effect on our business, prospects,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SAB Biotherapeutics depends upon its senior management and senior scientific staff, and their loss or unavailability could put SAB Biotherapeutics at a competitive disadvantage</w:t>
      </w:r>
      <w:r>
        <w:rPr>
          <w:rFonts w:ascii="Arial" w:cs="Arial" w:eastAsia="Arial" w:hAnsi="Arial"/>
          <w:sz w:val="13"/>
          <w:szCs w:val="13"/>
          <w:i w:val="1"/>
          <w:iCs w:val="1"/>
          <w:color w:val="auto"/>
        </w:rPr>
        <w:t>.</w:t>
      </w:r>
    </w:p>
    <w:p>
      <w:pPr>
        <w:spacing w:after="0" w:line="194"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Our success depends largely on the skills, experience and reputation of certain key management and personnel, in particular our directors, executive officers and senior scientific staff. The loss or unavailability of any of these individuals for any significant period of time could have a material adverse effect on our business, prospects,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is limited in its ability to manufacture pharmaceutical products</w:t>
      </w:r>
      <w:r>
        <w:rPr>
          <w:rFonts w:ascii="Arial" w:cs="Arial" w:eastAsia="Arial" w:hAnsi="Arial"/>
          <w:sz w:val="14"/>
          <w:szCs w:val="14"/>
          <w:i w:val="1"/>
          <w:iCs w:val="1"/>
          <w:color w:val="auto"/>
        </w:rPr>
        <w: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To be successful, our products and the products of our partners must be manufactured in commercial quantities in compliance with regulatory requirements and at a commercially acceptable cost. We have not commercialized any pharmaceutical products, nor have we demonstrated an ability to manufacture commercial quantities of our or our partners’ product candidates in accordance with regulatory requirements. If we are unable to produce suitable quantities of our or our partners’ products, or contract third parties to do so, in accordance with regulatory standards at a commercially acceptable cost, our ability or the ability of our partners to conduct clinical trials, obtain regulatory approvals and market such products may be adversely affected, which could adversely affect our competitive position and our chances of achieving profitability. There can be no assurance that such products can be manufactured by us or any other party at a cost or in quantities which are commercially viable.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SAB Biotherapeutics is subject to manufacturing risks that could substantially increase the costs and limit supply of product candidates or prevent SAB Biotherapeutics from achieving a commercially viable production process.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process of manufacturing our product candidates is complex, highly regulated and subject to several risks, including:</w:t>
      </w:r>
    </w:p>
    <w:p>
      <w:pPr>
        <w:spacing w:after="0" w:line="182" w:lineRule="exact"/>
        <w:rPr>
          <w:sz w:val="20"/>
          <w:szCs w:val="20"/>
          <w:color w:val="auto"/>
        </w:rPr>
      </w:pPr>
    </w:p>
    <w:p>
      <w:pPr>
        <w:ind w:left="520" w:hanging="2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do not have experience in manufacturing our product candidates at commercial scale.</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plan to develop a larger scale manufacturing process for our product candidates.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not succeed in scaling up the process.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need a larger scale manufacturing process for certain product candidates than what has been planned.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6" w:name="page17"/>
    <w:bookmarkEnd w:id="16"/>
    <w:p>
      <w:pPr>
        <w:jc w:val="both"/>
        <w:spacing w:after="0" w:line="292" w:lineRule="auto"/>
        <w:rPr>
          <w:sz w:val="20"/>
          <w:szCs w:val="20"/>
          <w:color w:val="auto"/>
        </w:rPr>
      </w:pPr>
      <w:r>
        <w:rPr>
          <w:rFonts w:ascii="Arial" w:cs="Arial" w:eastAsia="Arial" w:hAnsi="Arial"/>
          <w:sz w:val="13"/>
          <w:szCs w:val="13"/>
          <w:color w:val="auto"/>
        </w:rPr>
        <w:t>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We may not achieve the manufacturing productivity (“yield”) required to achieve a commercially viable cost of goods. Low productivities may result in a cost of goods which are too high to allow profitable commercialization, or give rise to the need for additional manufacturing process optimization which would require additional funding and time.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Additionally,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The manufacturing facilities in which SAB Biotherapeutics’ product candidates are made could be adversely affected by equipment failures, labor shortages, natural disasters, power failures and numerous other factors.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presently manufactures our product candidates at our lab facilities in South Dakota. If our lab facilities were to be damaged or destroyed by fire, flood, other natural disaster or other occurrences of any kind, it would have a material adverse effect on our ability to produce product candidates and on our business, financial condition and results of operations.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must comply with applicable current Good Manufacturing Practice, or cGMP, regulations and guidelines. We may encounter difficulties in achieving quality control and quality assurance and may experience shortages in qualified personnel. We are subject to inspections by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leading to significant delays in the availability of therapeutic product for clinical studies or the termination or hold on a clinical study,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achieve and maintain regulatory compliance, we may not be permitted to market its product candidates and/or may be subject to product recalls, seizures, injunctions, or criminal prosecution.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Any adverse developments affecting manufacturing operations for our product candidates, if any are approved, may result in shipment delays, inventory shortages, lot failures, product withdrawals or recalls, or other interruptions in the supply of product candidates. We may also have to take inventory write-offs and incur other charges and expenses for products that fail to meet specifications, undertake costly remediation efforts or seek more costly manufacturing alternatives.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product candidates that have been produced and are stored for later use may degrade, become contaminated or suffer other quality defects, which may cause the affected product candidates to no longer be suitable for their intended use in clinical studies or other development activities. If the defective product candidates cannot be replaced in a timely fashion, we may incur significant delays in our development programs that could adversely affect the value of such product candidates.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4"/>
          <w:szCs w:val="14"/>
          <w:b w:val="1"/>
          <w:bCs w:val="1"/>
          <w:i w:val="1"/>
          <w:iCs w:val="1"/>
          <w:color w:val="auto"/>
        </w:rPr>
        <w:t>Outbreaks of livestock diseases and other events affecting the health of SAB Biotherapeutics’ bovine herd can adversely impact SAB Biotherapeutics’ ability to conduct its operations and production of its product candidates.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product candidates are based on materials produced by genetically engineered bovines. We maintain a herd of approximately 200 genetically engineered production animals at a single location in South Dakota and a larger herd of recipient animals at other locations. Our ability to produce product candidates is dependent on the continued health and productivity of its animals. The supply of our product candidates can be adversely impacted by outbreaks of livestock diseases, which can have a significant adverse impact on our financial condition. Our animals produced by the recipient herd do not typically become productive until 15-18 months from the start of gestation. If all or a material number of the productive herd were to become diseased, injured or die as a result of bacterial, fungal or viral infections, such as foot and mouth disease, or natural disaster or other occurrences of any kind, it would have a material adverse effect on our ability to produce product candidates and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Extreme factors or forces beyond SAB Biotherapeutics’ control could negatively impact the business.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Natural disasters, fire, bioterrorism or other acts of terrorism or vandalism, animal activist activity or adverse public perception or media coverage or other public relations issues pandemic or extreme weather, including droughts, floods, excessive cold or heat, hurricanes or other storms, could impair the health or growth of livestock or interfere with our operations due to power outages, fuel shortages, feed shortages, decrease in availability of water, damage to our production and manufacturing facilities or disruption of transportation channels which would delay the development, regulatory approval and manufacture of our product candidates and ultimately affect our success. Any of these factors could have an adverse effect on our financial condition and ability to operate.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Security breaches, loss of data and other disruptions could compromise sensitive information related to SAB Biotherapeutics’ business or prevent it from accessing critical information and expose SAB Biotherapeutics to liability, which could adversely affect its business and its reputation.</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the ordinary course of business, we generate and store sensitive data, including research data, intellectual property and proprietary business information owned or controlled by us or our employees, partners and other parties. We utilize external security and infrastructure vendors to manage parts of our network.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accidental exposure, unauthorized access, inappropriate modification and the risk of being unable to adequately monitor and audit and modify controls over critical information. This risk extends to the third party vendors and subcontractors we use to manage this sensitive data or otherwise process it on our behalf. The secure processing, storage, maintenance and transmission of this critical information is vital to our operations and business strategy, and we devote significant resources to protecting such information. Although we take reasonable measures to protect sensitive data from unauthorized access, use or disclosure, no security measures can be perfect and our information technology and infrastructure may be vulnerable to attacks by hackers or infections by viruses or other malware or breached due to employee erroneous actions or inactions by employees or contractors, malfeasance or other malicious or inadvertent disruptions. Any such breach or interruption could compromise our networks and the information stored there could be accessed by unauthorized parties, publicly disclosed, lost or stolen. Any such access, breach, or other loss of information could result in legal claims or proceedings. Unauthorized access, loss or dissemination could also disrupt operations and damage our reputation, any of which could adversely affect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has no sales and marketing experience.</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no experience in sales, marketing or distribution. Before we can market any of our products directly, we must develop a substantial marketing and sales force with technical expertise and supporting distribution capability. Alternatively, we may obtain the assistance of a pharmaceutical company with a large distribution system and a large direct sales force. We do not have any existing distribution arrangements with any pharmaceutical company for its products. There can be no assurance that we will be able to establish sales and distribution capabilities or be successful in gaining market acceptance for our products.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SAB Biotherapeutics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success depends on its ability to maintain the proprietary nature of our technology.</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Our success in large part depends on our ability to maintain the proprietary nature of our technology and other trade secrets. To do so, we must prosecute and maintain existing patents, obtain new patents and pursue trade secret and other intellectual property protection. We also must operate without infringing the proprietary rights of third-parties or allowing third-parties to infringe our rights. Patent issues relating to pharmaceuticals and biologics involve complex legal, scientific and factual questions. To date, no consistent policy has emerged regarding the breadth of biotechnology patent claims that are granted by the U.S. Patent and Trademark Office (“USPTO”) or enforced by the federal courts. Therefore, we do not know whether any particular patent applications will result in the issuance of patents, or that any patents issued to us will provide us with any competitive advantage. We also cannot be sure that we will develop additional proprietary products that are patentable. Furthermore, there is a risk that others will independently develop or duplicate similar technology or products or circumvent the patents issued to us.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 parties may claim we infringe their intellectual property rights.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Our research, development and commercialization activities may be found to infringe patents owned by third-parties from whom we do not hold licenses or other rights to use their intellectual properties. There may be rights we are not aware of, including applications that have been filed, but not published that, when issued, could be asserted against us. These third-parties could bring claims against us, and that may cause us to incur substantial expenses and, if successful against us, could cause us to pay substantial damages. Further, if a patent infringement suit were brought against us, we could be forced to stop or delay research, development, manufacturing or sales of the product or product candidate that is the subject of the suit.</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a result of potential patent infringement claims, or in order to avoid potential claims, we may choose or be required to seek a license from the third-party. These licenses may not be available on acceptable terms, or at all.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All of the issues described above could also impact our collaborators, which would also impact the success of the collaboration and therefore us.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litigation to protect or enforce our patents or the patents of our collaborators or licensors, which could be expensive and time-consuming.</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Competitors may infringe our patents or the patents of our collaborators or licensors. As a result, we may be required to file suit to counter infringement for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 could put one or more of our patents at risk of being invalidated or interpreted narrowly and could put our patent applications at the risk of not issuing.</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Even if we are successful, litigation may result in substantial costs and distraction to our management. Even with a broad portfolio, we may not be able, alone or with our collaborators and licensors, to prevent misappropriation of our proprietary rights, particularly in countries where the laws may not protect such rights as fully as in the U.S.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litigation, there could be public announcements of the results of hearings, motions or other interim proceedings or developments. If investors perceive these results to be negative, the market price for our common stock could be significantly harmed.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If patent laws or the interpretation of patent laws change, our competitors may be able to develop and commercialize our discoveries.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Important legal issues remain to be resolved as to the extent and scope of available patent protection for biopharmaceutical products and processes in the U.S. and other important markets outside the U.S., such as Europe and Japan. In addition, foreign markets may not provide the same level of patent protection as provided under the U.S. patent system. Litigation or administrative proceedings may be necessary to determine the validity and scope of certain of our and others’ proprietary rights. Any such litigation or proceeding may result in a significant commitment of resources in the future and could force us to do one or more of the following: cease selling or using any of our products that incorporate the challenged intellectual property, which would adversely affect our revenue; obtain a license from the holder of the intellectual property right alleged to have been infringed, which license may not be available on reasonable terms, if at all; and redesign our products to avoid infringing the intellectual property rights of third-parties, which may be time-consuming or impossible to do. In addition, changes in, or different interpretations of, patent laws in the U.S. and other countries may result in patent laws that allow others to use our discoveries or develop and commercialize our products. We cannot provide assurance that the patents we obtain or the unpatented technology we hold will afford us significant commercial protection.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has third party collaborators that might claim rights in or to SAB’s technology and/or assets.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extensive experience collaborating with multiple parties in Government and industry, and has agreements and collaborations that allow potential claims and actual rights, such as shared publication rights, shared inventions, access to assets, potential claims of co-inventorship, limited rights to data, general purpose rights to data, and other claims that may affect our business operations, intellectual property portfolio, interruption of operating assets or our ability to protect its own rights. There can be no assurance that our competitors, suppliers, service providers, collaborators or other parties will not succeed in asserting rights that are or become contrary to our interests.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SAB Biotherapeutics is party to a contracting agreement with the US federal government which could be subject to revision or termination at the discretion of the US federal government.</w:t>
      </w:r>
    </w:p>
    <w:p>
      <w:pPr>
        <w:spacing w:after="0" w:line="205" w:lineRule="exact"/>
        <w:rPr>
          <w:sz w:val="20"/>
          <w:szCs w:val="20"/>
          <w:color w:val="auto"/>
        </w:rPr>
      </w:pPr>
    </w:p>
    <w:p>
      <w:pPr>
        <w:jc w:val="both"/>
        <w:spacing w:after="0" w:line="323" w:lineRule="auto"/>
        <w:rPr>
          <w:sz w:val="20"/>
          <w:szCs w:val="20"/>
          <w:color w:val="auto"/>
        </w:rPr>
      </w:pPr>
      <w:r>
        <w:rPr>
          <w:rFonts w:ascii="Arial" w:cs="Arial" w:eastAsia="Arial" w:hAnsi="Arial"/>
          <w:sz w:val="12"/>
          <w:szCs w:val="12"/>
          <w:color w:val="auto"/>
        </w:rPr>
        <w:t>We are executing on an award agreement (Project Agreement No. 01; MCDC1902-007) with the US federal Government (“USG”) that is structured as a cost reimbursement agreement that includes a defined scope and budget and represents the substantial majority of our revenues. The USG has the right to discontinue the agreement and wind-down or change the scope of the projects within the agreement. In the event the USG stops or alters the scope of the project, such action could have a material impact on our financial performance. Further, the agreement contains general purpose and limited purpose rights of USG, which include the sharing of certain types of information and a right to negotiate reasonable access to physical assets that have been funded by USG.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SAB Biotherapeutics operates in a highly competitive industry.</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We are engaged in highly competitive industries. We compete with many public and private companies, including pharmaceutical companies, chemical companies, specialized biotechnology companies and academic institutions. Many of our competitors have substantially greater financial, scientific and technical resources, and manufacturing and marketing experience and capabilities than us. In addition, many of our competitors have significantly greater experience conducting preclinical studies and clinical trials of new pharmaceutical products, and in obtaining regulatory approvals for pharmaceutical products. Our competitors and competitors of our collaborators may develop and commercialize such products more rapidly than we and our collaborators do. Competition may increase further as a result of potential advances from the study of pharmaceutical products, and greater availability of capital for investment in this field. There can be no assurance that our competitors will not succeed in developing technologies and products that are more effective than any being developed by us or that would render our technology and products obsolete or noncompetitive. There can be no assurance that these and other efforts by potential competitors will not be successful, or that other methods will not be developed to compete with our technology. There are specific products and technologies that compete with current product pipeline and that may outperform or be more competitive than our products. For example, there are multiple animal derived sources for ATG, that may be competitive with SAB-142 for transplant such as Thymoglobulin</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(Sanofi Genzyme) and Atgam </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(Pfizer), SAB-142 for Type I diabetes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 xml:space="preserve">such as teplizumab (Provention), otelixizumab (Tolerx/GSK); there are industry standard human sources of IgG that may compete with SAB-181 such as Hizentra </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(CSL Behring) and other commercially available human derived IVIG’s; there are other antibody technologies that may compete with SAB Biotherapeutics’ anti-influenza product, SAB-176 such as VIR-2482 (Vir), DAS-181 (Ansun), VIS410 (Visterra), FLU-IGIV (Emergent Biosolutions); there are multiple COVID-19 products that may compete with SAB-185 such as BRII-196/BRII-198 (Brii), AZD-7442 (AstraZeneca), LY-CoV555 (Eli Lilly/Abcellera), BMS-986414/BMS-986413 (BMS/Rockefeller University), VIR-7831 (Vir/GSK), REGEN-CoV (Regeneron), ADG-20 (Adagio), GIGA-2050 (Grifols).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SAB Biotherapeutics is subject to stringent environmental regulation and potentially subject to environmental litigation, proceedings, and investigations.</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Our business operations and use of real property are subject to stringent federal, state, and local environmental laws and regulations pertaining to safe working conditions, ethical experimental use of animals, the discharge of materials into the environment, and the handling and disposition of wastes (including solid and hazardous wastes) or otherwise relating to protection of the environment. These laws include the Occupational Safety and Health Act, the Toxic Test Substances Control Act and the Resource Conservation and Recovery Act. Compliance with these laws and regulations, and the ability to comply with any modifications to these laws and regulations, is material to our business. New matters or sites may be identified in the future that will require additional investigation, assessment, or expenditures. In addition, some of our facilities have been in operation for some time and, over time, we and any other prior operators of these facilities may have generated and disposed of wastes that now may be considered hazardous. Future discovery of contamination of property underlying or in the vicinity of our present or former properties or manufacturing facilities and/or waste disposal sites could require us to incur additional expenses. In addition, claimants may sue us for injury or contamination that results from our use of or our handling of contaminants, and our liability may exceed our total assets. Compliance with environmental laws and regulations may be expensive, and current or future environmental regulations may impair our research, development or production efforts. The occurrence of any of these events, the implementation of new laws and regulations, or stricter interpretation of existing laws or regulations, could adversely affect SAB Biotherapeutics’ financial condition and ability to operate.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Anti-takeover provisions contained in our certificate of incorporation as well as provisions of Delaware law</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could impair a takeover attempt</w:t>
      </w:r>
      <w:r>
        <w:rPr>
          <w:rFonts w:ascii="Arial" w:cs="Arial" w:eastAsia="Arial" w:hAnsi="Arial"/>
          <w:sz w:val="14"/>
          <w:szCs w:val="14"/>
          <w:color w:val="auto"/>
        </w:rPr>
        <w:t>.</w:t>
      </w:r>
    </w:p>
    <w:p>
      <w:pPr>
        <w:spacing w:after="0" w:line="186"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Our certificate of incorporation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41" w:lineRule="exact"/>
        <w:rPr>
          <w:sz w:val="20"/>
          <w:szCs w:val="20"/>
          <w:color w:val="auto"/>
        </w:rPr>
      </w:pPr>
    </w:p>
    <w:p>
      <w:pPr>
        <w:ind w:left="520" w:hanging="257"/>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cumulative voting in the election of directors, which limits the ability of minority stockholders to elect director candidates;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could delay the ability of stockholders to change the membership of a majority of our Board of Directors;</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right of our Board of Directors to elect a director to fill a vacancy created by the expansion of our Board of Directors or the resignation, death or removal of a director in certain circumstances, which prevents stockholders from being able to fill vacancies on our Board of Directors;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 and</w:t>
      </w:r>
    </w:p>
    <w:p>
      <w:pPr>
        <w:spacing w:after="0" w:line="182" w:lineRule="exact"/>
        <w:rPr>
          <w:rFonts w:ascii="Arial" w:cs="Arial" w:eastAsia="Arial" w:hAnsi="Arial"/>
          <w:sz w:val="14"/>
          <w:szCs w:val="14"/>
          <w:color w:val="auto"/>
        </w:rPr>
      </w:pPr>
    </w:p>
    <w:p>
      <w:pPr>
        <w:jc w:val="both"/>
        <w:ind w:left="520" w:hanging="257"/>
        <w:spacing w:after="0" w:line="27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requirement that a meeting of stockholders may only be called by members of our Board of Directors and the ability of the stockholders of the SAB Biotherapeutics to call a special meeting is specifically denied, which may delay the ability of our stockholders to force consideration of a proposal or to take action, including the removal of directors. These provisions, alone or together, could delay hostile takeovers and changes in control of SAB Biotherapeutics or changes in our Board of Directors and management.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1" w:name="page22"/>
    <w:bookmarkEnd w:id="21"/>
    <w:p>
      <w:pPr>
        <w:jc w:val="both"/>
        <w:ind w:firstLine="515"/>
        <w:spacing w:after="0" w:line="266" w:lineRule="auto"/>
        <w:rPr>
          <w:sz w:val="20"/>
          <w:szCs w:val="20"/>
          <w:color w:val="auto"/>
        </w:rPr>
      </w:pPr>
      <w:r>
        <w:rPr>
          <w:rFonts w:ascii="Arial" w:cs="Arial" w:eastAsia="Arial" w:hAnsi="Arial"/>
          <w:sz w:val="14"/>
          <w:szCs w:val="14"/>
          <w:color w:val="auto"/>
        </w:rPr>
        <w:t>As a Delaware corporation, we are also subject to provisions of Delaware law, including Section 203 of the DGCL, which prevents some stockholders holding more than 15% of outstanding our common stock from engaging in certain business combinations without approval of the holders of substantially all of our common stock. Any provision of our certificate of incorporation,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Being a Public Company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We will incur increased costs and demands upon management as a result of complying with the laws and regulations affecting public companies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which could adversely affect our business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financial condition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and results of operations</w:t>
      </w:r>
      <w:r>
        <w:rPr>
          <w:rFonts w:ascii="Arial" w:cs="Arial" w:eastAsia="Arial" w:hAnsi="Arial"/>
          <w:sz w:val="14"/>
          <w:szCs w:val="14"/>
          <w:b w:val="1"/>
          <w:bCs w:val="1"/>
          <w:color w:val="auto"/>
        </w:rPr>
        <w:t>.</w:t>
      </w:r>
    </w:p>
    <w:p>
      <w:pPr>
        <w:spacing w:after="0" w:line="127" w:lineRule="exact"/>
        <w:rPr>
          <w:sz w:val="20"/>
          <w:szCs w:val="20"/>
          <w:color w:val="auto"/>
        </w:rPr>
      </w:pPr>
    </w:p>
    <w:p>
      <w:pPr>
        <w:jc w:val="both"/>
        <w:ind w:firstLine="515"/>
        <w:spacing w:after="0" w:line="285" w:lineRule="auto"/>
        <w:rPr>
          <w:sz w:val="20"/>
          <w:szCs w:val="20"/>
          <w:color w:val="auto"/>
        </w:rPr>
      </w:pPr>
      <w:r>
        <w:rPr>
          <w:rFonts w:ascii="Arial" w:cs="Arial" w:eastAsia="Arial" w:hAnsi="Arial"/>
          <w:sz w:val="13"/>
          <w:szCs w:val="13"/>
          <w:color w:val="auto"/>
        </w:rPr>
        <w:t>As a public company, we are and will continue to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financial condition, and results of operations, although we have already hired additional employees to assist us in complying with these requirements, we may need to hire more employees in the future or engage outside consultants, which will increase our operating expenses.</w:t>
      </w:r>
    </w:p>
    <w:p>
      <w:pPr>
        <w:spacing w:after="0" w:line="137" w:lineRule="exact"/>
        <w:rPr>
          <w:sz w:val="20"/>
          <w:szCs w:val="20"/>
          <w:color w:val="auto"/>
        </w:rPr>
      </w:pPr>
    </w:p>
    <w:p>
      <w:pPr>
        <w:jc w:val="both"/>
        <w:ind w:firstLine="515"/>
        <w:spacing w:after="0" w:line="284" w:lineRule="auto"/>
        <w:rPr>
          <w:sz w:val="20"/>
          <w:szCs w:val="20"/>
          <w:color w:val="auto"/>
        </w:rPr>
      </w:pPr>
      <w:r>
        <w:rPr>
          <w:rFonts w:ascii="Arial" w:cs="Arial" w:eastAsia="Arial" w:hAnsi="Arial"/>
          <w:sz w:val="13"/>
          <w:szCs w:val="13"/>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3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We also expect that being a public company and these new rules and regulations will make it increasingly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1"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As a result of disclosure of information in filings required of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could be harmed, and even if the claims do not result in litigation or are resolved in our favor, these claims, and the time and resources necessary to resolve them, could divert the resources of our management and harm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are an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emerging growth company</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and our election to comply with the reduced disclosure requirements as a public company may make our common stock less attractive to investors</w:t>
      </w:r>
      <w:r>
        <w:rPr>
          <w:rFonts w:ascii="Arial" w:cs="Arial" w:eastAsia="Arial" w:hAnsi="Arial"/>
          <w:sz w:val="12"/>
          <w:szCs w:val="12"/>
          <w:b w:val="1"/>
          <w:bCs w:val="1"/>
          <w:color w:val="auto"/>
        </w:rPr>
        <w:t>.</w:t>
      </w:r>
    </w:p>
    <w:p>
      <w:pPr>
        <w:spacing w:after="0" w:line="209"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of 2002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2" w:name="page23"/>
    <w:bookmarkEnd w:id="22"/>
    <w:p>
      <w:pPr>
        <w:jc w:val="both"/>
        <w:ind w:firstLine="515"/>
        <w:spacing w:after="0" w:line="262" w:lineRule="auto"/>
        <w:rPr>
          <w:sz w:val="20"/>
          <w:szCs w:val="20"/>
          <w:color w:val="auto"/>
        </w:rPr>
      </w:pPr>
      <w:r>
        <w:rPr>
          <w:rFonts w:ascii="Arial" w:cs="Arial" w:eastAsia="Arial" w:hAnsi="Arial"/>
          <w:sz w:val="14"/>
          <w:szCs w:val="14"/>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our common stock. We will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date on which we have, in any three-year period, issued more than $1.0 billion in non-convertible debt securities; and (iv) December 31, 2026 (the last day of the fiscal year following the fifth anniversary of becoming a public company).</w:t>
      </w:r>
    </w:p>
    <w:p>
      <w:pPr>
        <w:spacing w:after="0" w:line="147" w:lineRule="exact"/>
        <w:rPr>
          <w:sz w:val="20"/>
          <w:szCs w:val="20"/>
          <w:color w:val="auto"/>
        </w:rPr>
      </w:pPr>
    </w:p>
    <w:p>
      <w:pPr>
        <w:jc w:val="both"/>
        <w:ind w:firstLine="515"/>
        <w:spacing w:after="0" w:line="262" w:lineRule="auto"/>
        <w:rPr>
          <w:sz w:val="20"/>
          <w:szCs w:val="20"/>
          <w:color w:val="auto"/>
        </w:rPr>
      </w:pPr>
      <w:r>
        <w:rPr>
          <w:rFonts w:ascii="Arial" w:cs="Arial" w:eastAsia="Arial" w:hAnsi="Arial"/>
          <w:sz w:val="14"/>
          <w:szCs w:val="14"/>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147"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Investors may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27"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If we fail to maintain an effective system of disclosure controls and internal control over financial reporting</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our ability to produce timely and accurate financial statements or comply with applicable regulations could be impaired</w:t>
      </w:r>
      <w:r>
        <w:rPr>
          <w:rFonts w:ascii="Arial" w:cs="Arial" w:eastAsia="Arial" w:hAnsi="Arial"/>
          <w:sz w:val="14"/>
          <w:szCs w:val="14"/>
          <w:b w:val="1"/>
          <w:bCs w:val="1"/>
          <w:color w:val="auto"/>
        </w:rPr>
        <w:t>.</w:t>
      </w:r>
    </w:p>
    <w:p>
      <w:pPr>
        <w:spacing w:after="0" w:line="127"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As a public company, we are subject to the reporting requirements of the Exchange Act, the Sarbanes-Oxley Act and the rules and regulations of the applicable listing standards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41" w:lineRule="exact"/>
        <w:rPr>
          <w:sz w:val="20"/>
          <w:szCs w:val="20"/>
          <w:color w:val="auto"/>
        </w:rPr>
      </w:pPr>
    </w:p>
    <w:p>
      <w:pPr>
        <w:jc w:val="both"/>
        <w:ind w:firstLine="515"/>
        <w:spacing w:after="0" w:line="284"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spacing w:after="0" w:line="135" w:lineRule="exact"/>
        <w:rPr>
          <w:sz w:val="20"/>
          <w:szCs w:val="20"/>
          <w:color w:val="auto"/>
        </w:rPr>
      </w:pPr>
    </w:p>
    <w:p>
      <w:pPr>
        <w:jc w:val="both"/>
        <w:ind w:firstLine="515"/>
        <w:spacing w:after="0" w:line="281" w:lineRule="auto"/>
        <w:rPr>
          <w:sz w:val="20"/>
          <w:szCs w:val="20"/>
          <w:color w:val="auto"/>
        </w:rPr>
      </w:pPr>
      <w:r>
        <w:rPr>
          <w:rFonts w:ascii="Arial" w:cs="Arial" w:eastAsia="Arial" w:hAnsi="Arial"/>
          <w:sz w:val="13"/>
          <w:szCs w:val="13"/>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3" w:name="page24"/>
    <w:bookmarkEnd w:id="23"/>
    <w:p>
      <w:pPr>
        <w:jc w:val="both"/>
        <w:ind w:firstLine="515"/>
        <w:spacing w:after="0" w:line="266" w:lineRule="auto"/>
        <w:rPr>
          <w:sz w:val="20"/>
          <w:szCs w:val="20"/>
          <w:color w:val="auto"/>
        </w:rPr>
      </w:pPr>
      <w:r>
        <w:rPr>
          <w:rFonts w:ascii="Arial" w:cs="Arial" w:eastAsia="Arial" w:hAnsi="Arial"/>
          <w:sz w:val="14"/>
          <w:szCs w:val="14"/>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warrants are accounted for as liabilities and the changes in value of the warrants could have a material effect on our financial results.</w:t>
      </w:r>
    </w:p>
    <w:p>
      <w:pPr>
        <w:spacing w:after="0" w:line="182" w:lineRule="exact"/>
        <w:rPr>
          <w:sz w:val="20"/>
          <w:szCs w:val="20"/>
          <w:color w:val="auto"/>
        </w:rPr>
      </w:pPr>
    </w:p>
    <w:p>
      <w:pPr>
        <w:jc w:val="both"/>
        <w:ind w:firstLine="515"/>
        <w:spacing w:after="0" w:line="292" w:lineRule="auto"/>
        <w:rPr>
          <w:sz w:val="20"/>
          <w:szCs w:val="20"/>
          <w:color w:val="auto"/>
        </w:rPr>
      </w:pPr>
      <w:r>
        <w:rPr>
          <w:rFonts w:ascii="Arial" w:cs="Arial" w:eastAsia="Arial" w:hAnsi="Arial"/>
          <w:sz w:val="13"/>
          <w:szCs w:val="13"/>
          <w:color w:val="auto"/>
        </w:rPr>
        <w:t>On April 12, 2021, the staff of the SEC issued a Staff Statement on Accounting and Reporting Considerations for Warrants Issued by Special Purpose Acquisition Companies (“SPACs”) (the “SEC Staff Statement”). The SEC Staff Statement focused on certain accounting and reporting considerations related to warrants of a kind similar to warrants that we issued at the time of our initial public offering and the exercises by the underwriters of their over-allotment options in January 2021. In response to the SEC Staff Statement, we reevaluated the accounting treatment of the warrants, and determined to classify the warrants as derivative liabilities measured at fair value, with changes in fair value each period reported in earnings.</w:t>
      </w:r>
    </w:p>
    <w:p>
      <w:pPr>
        <w:spacing w:after="0" w:line="131"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color w:val="auto"/>
        </w:rPr>
        <w:t>As a result, included on our balance sheet and contained elsewhere in this prospectus derivative liabilities related to embedded features contained within the warrants. Accounting Standards Codification (“ASC”) 815-40 provides for the remeasurement of the fair value of such derivatives at each balance sheet date, with a resulting non-cash gain or loss related to the change in the fair value being recognized in earnings in the statement of income. As a result of the recurring fair value measurement, our financial statements and results of operations may fluctuate quarterly based on factors which are outside of its control. Due to the recurring fair value measurement, we expect that we will recognize non-cash gains or losses on the warrants each reporting period and that the amount of such gains or losses could be material.</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Our business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financial condition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and results of operations may fluctuate on a quarterly and annual basis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which may result in a decline in our stock price if such fluctuations result in a failure to meet the expectations of securities analysts or investors</w:t>
      </w:r>
      <w:r>
        <w:rPr>
          <w:rFonts w:ascii="Arial" w:cs="Arial" w:eastAsia="Arial" w:hAnsi="Arial"/>
          <w:sz w:val="14"/>
          <w:szCs w:val="14"/>
          <w:b w:val="1"/>
          <w:bCs w:val="1"/>
          <w:color w:val="auto"/>
        </w:rPr>
        <w:t>.</w:t>
      </w:r>
    </w:p>
    <w:p>
      <w:pPr>
        <w:spacing w:after="0" w:line="127" w:lineRule="exact"/>
        <w:rPr>
          <w:sz w:val="20"/>
          <w:szCs w:val="20"/>
          <w:color w:val="auto"/>
        </w:rPr>
      </w:pPr>
    </w:p>
    <w:p>
      <w:pPr>
        <w:jc w:val="both"/>
        <w:ind w:firstLine="515"/>
        <w:spacing w:after="0" w:line="279" w:lineRule="auto"/>
        <w:rPr>
          <w:sz w:val="20"/>
          <w:szCs w:val="20"/>
          <w:color w:val="auto"/>
        </w:rPr>
      </w:pPr>
      <w:r>
        <w:rPr>
          <w:rFonts w:ascii="Arial" w:cs="Arial" w:eastAsia="Arial" w:hAnsi="Arial"/>
          <w:sz w:val="13"/>
          <w:szCs w:val="13"/>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our common stock to fluctuate. Factors that may contribute to the variability of our operating results include, but are not limited to: our ability to attract new clients and partners, retain existing clients and partners and maximize engagement and enrollment with existing and future clients; changes in our sales and implementation cycles, especially in the case of our large clients; new solution introductions and expansions, or challenges with such introductions; changes in our pricing or fee policies or those of our competitors; the timing and success of new solution introductions by us or our competitors or announcements by competitors or other third parties of significant new products or acquisitions or entrance into certain markets; any other change in the competitive landscape of our industry, including consolidation among our competitors; increases in operating expenses that we may incur to grow and expand our operations and to remain competitive; our ability to successfully expand our business, whether domestically or internationally; breaches of security or privacy; changes in stock-based compensation expenses; the amount and timing of operating costs and capital expenditures related to the expansion of our business; adverse litigation judgments, settlements, or other litigation-related costs; changes in the legislative or regulatory environment, including with respect to privacy or data protection, or enforcement by government regulators, including fines, orders, or consent decrees; the cost and potential outcomes of ongoing or future regulatory investigations or examinations, or of future litigation; changes in our effective tax rate; our ability to make accurate accounting estimates and appropriately recognize revenue for our solutions for which there are no relevant comparable products; changes in accounting standards, policies, guidance, interpretations, or principles; instability in the financial markets; general economic conditions, both domestic and international; volatility in the global financial markets; political, economic, and social instability, including terrorist activities and health epidemics (including the recent outbreak of COVID-19), and any disruption these events may cause to the global economy; and changes in business or macroeconomic conditions. The impact of one or more of the foregoing or other factors may cause our operating results to vary significantly.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4" w:name="page25"/>
    <w:bookmarkEnd w:id="24"/>
    <w:p>
      <w:pPr>
        <w:jc w:val="both"/>
        <w:spacing w:after="0" w:line="292" w:lineRule="auto"/>
        <w:rPr>
          <w:sz w:val="20"/>
          <w:szCs w:val="20"/>
          <w:color w:val="auto"/>
        </w:rPr>
      </w:pPr>
      <w:r>
        <w:rPr>
          <w:rFonts w:ascii="Arial" w:cs="Arial" w:eastAsia="Arial" w:hAnsi="Arial"/>
          <w:sz w:val="14"/>
          <w:szCs w:val="14"/>
          <w:b w:val="1"/>
          <w:bCs w:val="1"/>
          <w:i w:val="1"/>
          <w:iCs w:val="1"/>
          <w:color w:val="auto"/>
        </w:rPr>
        <w:t>Changes in accounting principles may cause previously unanticipated fluctuations in our financial results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and the implementation of such changes may impact our ability to meet our financial reporting obligations</w:t>
      </w:r>
      <w:r>
        <w:rPr>
          <w:rFonts w:ascii="Arial" w:cs="Arial" w:eastAsia="Arial" w:hAnsi="Arial"/>
          <w:sz w:val="14"/>
          <w:szCs w:val="14"/>
          <w:b w:val="1"/>
          <w:bCs w:val="1"/>
          <w:color w:val="auto"/>
        </w:rPr>
        <w:t>.</w:t>
      </w:r>
    </w:p>
    <w:p>
      <w:pPr>
        <w:spacing w:after="0" w:line="127"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We prepare our financial statements in accordance with GAAP, which are subject to interpretation or changes by the FASB, the SEC, and other various bodies formed to promulgate and interpret appropriate accounting principles. New accounting pronouncements and changes in accounting principles have occurred in the past and are expected to occur in the future which may have a significant effect on our financial results. Furthermore,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our business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financial condition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and results of operations could be adversely affected</w:t>
      </w:r>
      <w:r>
        <w:rPr>
          <w:rFonts w:ascii="Arial" w:cs="Arial" w:eastAsia="Arial" w:hAnsi="Arial"/>
          <w:sz w:val="13"/>
          <w:szCs w:val="13"/>
          <w:b w:val="1"/>
          <w:bCs w:val="1"/>
          <w:color w:val="auto"/>
        </w:rPr>
        <w:t>.</w:t>
      </w:r>
    </w:p>
    <w:p>
      <w:pPr>
        <w:spacing w:after="0" w:line="198" w:lineRule="exact"/>
        <w:rPr>
          <w:sz w:val="20"/>
          <w:szCs w:val="20"/>
          <w:color w:val="auto"/>
        </w:rPr>
      </w:pPr>
    </w:p>
    <w:p>
      <w:pPr>
        <w:jc w:val="both"/>
        <w:ind w:firstLine="515"/>
        <w:spacing w:after="0" w:line="282" w:lineRule="auto"/>
        <w:rPr>
          <w:sz w:val="20"/>
          <w:szCs w:val="20"/>
          <w:color w:val="auto"/>
        </w:rPr>
      </w:pPr>
      <w:r>
        <w:rPr>
          <w:rFonts w:ascii="Arial" w:cs="Arial" w:eastAsia="Arial" w:hAnsi="Arial"/>
          <w:sz w:val="13"/>
          <w:szCs w:val="13"/>
          <w:color w:val="auto"/>
        </w:rPr>
        <w:t>The preparation of financial statements in conformity with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provided in the sections titled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allowance for doubtful accounts, assessment of the useful life and recoverability of long-lived assets, fair value of guarantees included in revenue arrangements and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an Investment in Our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not be an active trading market for our securities, which may make it difficult to sell shares of our common stock or warrants.</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It is possible that an active trading market for our securities will not develop or, if developed, that any market will not be sustained. This would make it difficult for you to sell our securities at an attractive price or at all.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The market price of our securities may be volatile, which could cause the value of your investment to decline.</w:t>
      </w:r>
    </w:p>
    <w:p>
      <w:pPr>
        <w:spacing w:after="0" w:line="182"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The price of our securities may fluctuate significantly due general market and economic conditions. An active trading market for our securities may not develop or, if developed, it may not be sustained. In addition, fluctuations in the price of our securities could contribute to the loss of all or part of your investment. Even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 Factors affecting the trading price of our securities may include, but are not solely limited to, the risk factors identified herein.</w:t>
      </w:r>
    </w:p>
    <w:p>
      <w:pPr>
        <w:spacing w:after="0" w:line="133"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3"/>
          <w:szCs w:val="13"/>
          <w:color w:val="auto"/>
        </w:rPr>
        <w:t>In addition, the stock market in general, and Nasdaq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its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unaudited pro forma financial information included herein may not be indicative of what our actual financial position or results of operations would have been.</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can be no assurance that we will be able to comply with the continued listing standards of Nasdaq.</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If Nasdaq delists our securities from trading on its exchange for failure to meet their continued listing standards, SAB Biotherapeutics and its stockholders could face significant negative consequences including:</w:t>
      </w:r>
    </w:p>
    <w:p>
      <w:pPr>
        <w:spacing w:after="0" w:line="131" w:lineRule="exact"/>
        <w:rPr>
          <w:sz w:val="20"/>
          <w:szCs w:val="20"/>
          <w:color w:val="auto"/>
        </w:rPr>
      </w:pPr>
    </w:p>
    <w:p>
      <w:pPr>
        <w:ind w:left="520" w:hanging="2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Limited availability of market quotations for SAB Biotherapeutics securities;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determination that our common stock is a “penny stock” which will require brokers trading in our securities to adhere to more stringent rules;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Possibly resulting in a reduced level of trading activity in the secondary trading market for shares of our common stock;</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limited amount of analyst coverage;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decreased ability to issue additional securities or obtain additional financing in the future.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31"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3"/>
          <w:szCs w:val="13"/>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As a result, you may not receive any return on an investment in our common stock unless you sell the common stock for a price greater than that which you paid for it. See the section entitled “</w:t>
      </w:r>
      <w:r>
        <w:rPr>
          <w:rFonts w:ascii="Arial" w:cs="Arial" w:eastAsia="Arial" w:hAnsi="Arial"/>
          <w:sz w:val="13"/>
          <w:szCs w:val="13"/>
          <w:i w:val="1"/>
          <w:iCs w:val="1"/>
          <w:color w:val="auto"/>
        </w:rPr>
        <w:t>Market Information for Securities and Dividend Policy</w:t>
      </w:r>
      <w:r>
        <w:rPr>
          <w:rFonts w:ascii="Arial" w:cs="Arial" w:eastAsia="Arial" w:hAnsi="Arial"/>
          <w:sz w:val="13"/>
          <w:szCs w:val="13"/>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in the public market could cause our stock price to fall.</w:t>
      </w:r>
    </w:p>
    <w:p>
      <w:pPr>
        <w:spacing w:after="0" w:line="182"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Sales of significant number of shares of our common stock may make it more difficult for us to sell equity or equity-related securities in the future at a time and price that it deems reasonable or appropriate, and make it more difficult for you to sell shares of our common stock. Certain holders of our securities are entitled to rights with respect to the registration of the shares of our common stock under the Securities Act. Any sales of securities by these stockholders could have a material adverse effect on the trading price of our common 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4"/>
          <w:szCs w:val="14"/>
          <w:b w:val="1"/>
          <w:bCs w:val="1"/>
          <w:i w:val="1"/>
          <w:iCs w:val="1"/>
          <w:color w:val="auto"/>
        </w:rPr>
        <w:t>Future sales and issuances of our common stock or rights to purchase common stock, including pursuant to our equity plans, could result in additional dilution of the percentage ownership of our stockholders and could cause our stock price to fall.</w:t>
      </w:r>
    </w:p>
    <w:p>
      <w:pPr>
        <w:spacing w:after="0" w:line="131"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We expect that significant additional capital may be needed in the future to continue our planned operations, including conducting clinical trials, commercialization efforts, expanded research and development activities and costs associated with operating as a public company. To raise capital, we may sell common stock, convertible securities or other equity securities in one or more transactions at prices and in a manner it determines from time to time. We may also sell our common stock as part of entering into strategic alliances, creating joint ventures or collaborations or entering into additional licensing arrangements with third parties that we believe will complement or augment its development and commercialization efforts. If we sell common stock, convertible securities or other equity securities, investors may be materially diluted by subsequent sales. Such sales may also result in material dilution to existing stockholders, and new investors could gain rights, preferences and privileges senior to the holders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limited experience in operating a public company.</w:t>
      </w:r>
    </w:p>
    <w:p>
      <w:pPr>
        <w:spacing w:after="0" w:line="182"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It is possible that will be required to expand its employee base and hire additional employees to support our operations as a public company, which will increase its operating costs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redeem your unexpired warrants prior to their exercise at a time that is disadvantageous to you</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thereby making your warrants worthless</w:t>
      </w:r>
      <w:r>
        <w:rPr>
          <w:rFonts w:ascii="Arial" w:cs="Arial" w:eastAsia="Arial" w:hAnsi="Arial"/>
          <w:sz w:val="14"/>
          <w:szCs w:val="14"/>
          <w:b w:val="1"/>
          <w:bCs w:val="1"/>
          <w:color w:val="auto"/>
        </w:rPr>
        <w:t>.</w:t>
      </w:r>
    </w:p>
    <w:p>
      <w:pPr>
        <w:spacing w:after="0" w:line="186"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color w:val="auto"/>
        </w:rPr>
        <w:t>We have the ability to redeem outstanding our publicly held warrants at any time after they become exercisable and prior to their expiration, at a price of $0.01 per warrant, provided that the closing price of our common stock equals or exceeds $18.00 per share for any 20 trading days within a 30 trading-day period ending on the third trading day prior to the date we give notice of redemption. If and when the warrants become redeemable, we may exercise the redemption right even if it is unable to register or qualify the underlying securities for sale under all applicable state securities laws. Redemption of the outstanding warrants could force holders to (i) exercise the warrants and pay the exercise price therefor at a time when it may be disadvantageous to do so, (ii) sell the warrants at the then-current market price when the holder might otherwise wish to hold on to such warrants or (iii) accept the nominal redemption price which, at the time the outstanding warrants are called for redemption, is likely to be substantially less than the market value of the warrants. None of the warrants held by Big Cypress Holdings LLC will be redeemable by us so long as they are held by Big Cypress Holdings LLC or their permitted transferees.</w:t>
      </w:r>
    </w:p>
    <w:p>
      <w:pPr>
        <w:spacing w:after="0" w:line="15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In addition, we may redeem the publicly held warrants after they become exercisable for a number of shares of our common stock determined based on the redemption date and the fair market value of our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common stock had your warrants remained outstanding.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Risk Factors to Capital Markets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182" w:lineRule="exact"/>
        <w:rPr>
          <w:sz w:val="20"/>
          <w:szCs w:val="20"/>
          <w:color w:val="auto"/>
        </w:rPr>
      </w:pPr>
    </w:p>
    <w:p>
      <w:pPr>
        <w:jc w:val="both"/>
        <w:ind w:firstLine="258"/>
        <w:spacing w:after="0" w:line="284" w:lineRule="auto"/>
        <w:rPr>
          <w:sz w:val="20"/>
          <w:szCs w:val="20"/>
          <w:color w:val="auto"/>
        </w:rPr>
      </w:pPr>
      <w:r>
        <w:rPr>
          <w:rFonts w:ascii="Arial" w:cs="Arial" w:eastAsia="Arial" w:hAnsi="Arial"/>
          <w:sz w:val="13"/>
          <w:szCs w:val="13"/>
          <w:color w:val="auto"/>
        </w:rPr>
        <w:t>The global credit and financial markets have experienced extreme volatility and disruptions in the past, most recently as a result of the COVID-19 pandemic. These disruptions can result in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operations, growth strategy, financial performance and stock price and could require it to delay or abandon clinical development plans. In addition, there is a risk that one or more of our current service providers may not survive an economic downturn, which could directly affect our ability to attain its operating goals on schedule and on budget.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publish negative reports, the market price of our common stock could decline.</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publish about us or our business. If regular publication of research reports ceases, we could lose visibility in the financial markets, which in turn could cause the market price or trading volume of our common stock to decline. Moreover, if one or more of the analysts who cover us downgrade our common stock or if reporting results do not meet their expectations, the market price of our securities could decline.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securities litigation, which is expensive and could divert management attention.</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Financing and Tax</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require additional capital to support business growth</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and this capital might not be available on acceptable terms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if at all</w:t>
      </w:r>
      <w:r>
        <w:rPr>
          <w:rFonts w:ascii="Arial" w:cs="Arial" w:eastAsia="Arial" w:hAnsi="Arial"/>
          <w:sz w:val="14"/>
          <w:szCs w:val="14"/>
          <w:b w:val="1"/>
          <w:bCs w:val="1"/>
          <w:color w:val="auto"/>
        </w:rPr>
        <w:t>.</w:t>
      </w:r>
    </w:p>
    <w:p>
      <w:pPr>
        <w:spacing w:after="0" w:line="186"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color w:val="auto"/>
        </w:rPr>
        <w:t>We intend to continue to make investments to support our business growth and may require additional funds to respond to business challenges, advance or begin clinical trial and research initiatives, enhance our operating infrastructure, and acquire complementary businesses and technologies. In order to achieve these objectives, we may need to engage in equity or debt financings to secure additional funds. If we raise additional funds through further issuances of equity or convertible debt securities, our existing stockholders could suffer dilution, and any new equity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i w:val="1"/>
          <w:iCs w:val="1"/>
          <w:color w:val="auto"/>
        </w:rPr>
        <w:t>Changes in legislation in U</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and foreign taxation of international business activities or the adoption of other tax reform policies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as well as the application of such laws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could adversely impact our financial position and operating results</w:t>
      </w:r>
      <w:r>
        <w:rPr>
          <w:rFonts w:ascii="Arial" w:cs="Arial" w:eastAsia="Arial" w:hAnsi="Arial"/>
          <w:sz w:val="14"/>
          <w:szCs w:val="14"/>
          <w:b w:val="1"/>
          <w:bCs w:val="1"/>
          <w:color w:val="auto"/>
        </w:rPr>
        <w:t>.</w:t>
      </w:r>
    </w:p>
    <w:p>
      <w:pPr>
        <w:spacing w:after="0" w:line="127" w:lineRule="exact"/>
        <w:rPr>
          <w:sz w:val="20"/>
          <w:szCs w:val="20"/>
          <w:color w:val="auto"/>
        </w:rPr>
      </w:pPr>
    </w:p>
    <w:p>
      <w:pPr>
        <w:jc w:val="both"/>
        <w:ind w:firstLine="515"/>
        <w:spacing w:after="0" w:line="323" w:lineRule="auto"/>
        <w:rPr>
          <w:sz w:val="20"/>
          <w:szCs w:val="20"/>
          <w:color w:val="auto"/>
        </w:rPr>
      </w:pPr>
      <w:r>
        <w:rPr>
          <w:rFonts w:ascii="Arial" w:cs="Arial" w:eastAsia="Arial" w:hAnsi="Arial"/>
          <w:sz w:val="12"/>
          <w:szCs w:val="12"/>
          <w:color w:val="auto"/>
        </w:rPr>
        <w:t>As we expand the scale of our business activities, any changes in the U.S. or foreign taxation of such activities may increase our worldwide effective tax rate and harm our business, results of operations, and financial condition. For example, the Biden administration has proposed changes to federal income tax laws that would, among other things, impose a 15% minimum tax on corporate book income for certain taxpayers and strengthen the global intangible low-taxed income regime imposed by the Tax Cuts and Jobs Act of 2017 while eliminating related tax exemptions. The impact of future changes to U.S. and foreign tax law on our business is uncertain and could be adverse, and we will continue to monitor and assess the impact of any such changes.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MARKET AND INDUSTRY DATA</w:t>
      </w:r>
    </w:p>
    <w:p>
      <w:pPr>
        <w:spacing w:after="0" w:line="186"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Certain industry data and market data included in this prospectus were obtained from independent third-party surveys, market research, publicly available information, reports of governmental agencies and industry publications and surveys. All of management’s estimates presented herein are based upon management’s review of independent third-party surveys and industry publications prepared by a number of sources and other publicly available information.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the section titled “</w:t>
      </w:r>
      <w:r>
        <w:rPr>
          <w:rFonts w:ascii="Arial" w:cs="Arial" w:eastAsia="Arial" w:hAnsi="Arial"/>
          <w:sz w:val="14"/>
          <w:szCs w:val="14"/>
          <w:i w:val="1"/>
          <w:iCs w:val="1"/>
          <w:color w:val="auto"/>
        </w:rPr>
        <w:t>Risk Factors.</w:t>
      </w:r>
      <w:r>
        <w:rPr>
          <w:rFonts w:ascii="Arial" w:cs="Arial" w:eastAsia="Arial" w:hAnsi="Arial"/>
          <w:sz w:val="14"/>
          <w:szCs w:val="14"/>
          <w:color w:val="auto"/>
        </w:rPr>
        <w:t>” These and other factors could cause results to differ materially from those expressed in the estimates made by the independent parties and by 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3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We will receive up to an aggregate of approximately $68.5 million from the exercise of the Warrants, assuming the exercise in full of all of the Warrants for cash. We expect to use the net proceeds from the exercise of the Warrants, if any,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DETERMINATION OF OFFERING PRICE</w:t>
      </w:r>
    </w:p>
    <w:p>
      <w:pPr>
        <w:spacing w:after="0" w:line="186"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The offering price of the shares of Common Stock issuable upon exercise of the Warrants offered hereby is determined by reference to the exercise price of the Warrants of $11.50 per share, subject to adjustment as described herein.</w:t>
      </w:r>
    </w:p>
    <w:p>
      <w:pPr>
        <w:spacing w:after="0" w:line="131"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We cannot currently determine the price or prices at which shares of Common Stock may be sold by the selling securityholders under this prospectus. Our Common Stock is listed on Nasdaq under the symbol “SABS.” Our Public Warrants are listed on Nasdaq under the symbol “SABSW.”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MARKET INFORMATION FOR SECURITIES AND DIVIDEND POLICY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Our Common Stock and Public Warrants are currently listed on Nasdaq under the symbols “SABS” and “SABSW,” respectively. Prior to the consummation of the Business Combination, BCYP’s common Stock, units and warrants were listed on Nasdaq under the symbols “BCYP,” “BCYPU” and “BCYPW,” respectively. As of the Closing Date and following the completion of the Business Combination, there were 197 holders of record of the Common Stock and 2 holders of record of our Warrants, which excludes holders of our Common Stock and Warrants held in “street name.”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We have never declared or paid any dividends on shares of Common Stock. We anticipate that we will retain all of our future earnings, if any, to fund the development and growth of our business. Any future determination to pay dividends on our capital stock will be at the discretion of our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UNAUDITED PRO FORMA CONDENSED COMBINED FINANCIAL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18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On October 22, 2021, the Company, BCYP and Merger Sub, consummated the Business Combination. In connection with the closing of the Business Combination, BCYP changed its name from Big Cypress Acquisition Corp. to SAB Biotherapeutics, Inc.</w:t>
      </w:r>
    </w:p>
    <w:p>
      <w:pPr>
        <w:spacing w:after="0" w:line="13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following unaudited pro forma condensed combined balance sheet as of September 30, 2021 and the unaudited pro forma condensed combined statement of operations for the year ended December 31, 2020 and for the nine months ended September 30, 2021 present the combination of the financial information of BCYP and OLD SAB after giving effect to the Business Combination, Any adjustments thereto are described in the accompanying notes.</w:t>
      </w:r>
    </w:p>
    <w:p>
      <w:pPr>
        <w:spacing w:after="0" w:line="14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unaudited pro forma condensed combined statement of operations for the year ended December 31, 2020 and for the nine months ended September 30, 2021 gives pro forma effect to the Business Combination as if it had occurred on January 1, 2020. The unaudited pro forma condensed combined balance sheet as of September 30, 2021 gives pro forma effect to the Business Combination as if it were completed on September 30, 2021.</w:t>
      </w:r>
    </w:p>
    <w:p>
      <w:pPr>
        <w:spacing w:after="0" w:line="141"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unaudited pro forma condensed combined financial information was derived from, and should be read in conjunction with, the following historical financial statements and the accompanying notes, which are included elsewhere in this prospectus and incorporated herein by reference:</w:t>
      </w:r>
    </w:p>
    <w:p>
      <w:pPr>
        <w:spacing w:after="0" w:line="131" w:lineRule="exact"/>
        <w:rPr>
          <w:sz w:val="20"/>
          <w:szCs w:val="20"/>
          <w:color w:val="auto"/>
        </w:rPr>
      </w:pPr>
    </w:p>
    <w:p>
      <w:pPr>
        <w:ind w:left="780" w:hanging="259"/>
        <w:spacing w:after="0" w:line="286" w:lineRule="auto"/>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historical unaudited condensed financial statements of BCYP as of and for the nine months ended September 30, 2021 and the historical audited financial statements of BCYP as of and for the year ended December 31, 2020; and</w:t>
      </w:r>
    </w:p>
    <w:p>
      <w:pPr>
        <w:spacing w:after="0" w:line="131" w:lineRule="exact"/>
        <w:rPr>
          <w:rFonts w:ascii="Arial" w:cs="Arial" w:eastAsia="Arial" w:hAnsi="Arial"/>
          <w:sz w:val="14"/>
          <w:szCs w:val="14"/>
          <w:color w:val="auto"/>
        </w:rPr>
      </w:pPr>
    </w:p>
    <w:p>
      <w:pPr>
        <w:ind w:left="780" w:hanging="259"/>
        <w:spacing w:after="0" w:line="286" w:lineRule="auto"/>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historical unaudited condensed financial statements of OLD SAB as of and for the nine months ended September 30, 2021 and the historical audited financial statements of OLD SAB as of and for the year ended December 31, 2020.</w:t>
      </w:r>
    </w:p>
    <w:p>
      <w:pPr>
        <w:spacing w:after="0" w:line="131"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unaudited pro forma condensed combined financial information should also be read together with the section of the prospectus entitled “</w:t>
      </w:r>
      <w:r>
        <w:rPr>
          <w:rFonts w:ascii="Arial" w:cs="Arial" w:eastAsia="Arial" w:hAnsi="Arial"/>
          <w:sz w:val="14"/>
          <w:szCs w:val="14"/>
          <w:i w:val="1"/>
          <w:iCs w:val="1"/>
          <w:color w:val="auto"/>
        </w:rPr>
        <w:t>Management’s Discussion and Analysis of</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Condition and Results of Operations</w:t>
      </w:r>
      <w:r>
        <w:rPr>
          <w:rFonts w:ascii="Arial" w:cs="Arial" w:eastAsia="Arial" w:hAnsi="Arial"/>
          <w:sz w:val="14"/>
          <w:szCs w:val="14"/>
          <w:color w:val="auto"/>
        </w:rPr>
        <w:t>,” as well as other information included elsewhere in the prospectus, which is incorporated herein by reference.</w:t>
      </w:r>
    </w:p>
    <w:p>
      <w:pPr>
        <w:spacing w:after="0" w:line="131"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The unaudited pro forma condensed combined financial statements have been presented for illustrative purposes only and do not necessarily reflect what OLD SAB’s financial condition or results of operations would have been had the Business Combination occurred on the dates indicated. Further, the unaudited pro forma condensed combined financial information also may not be useful in predicting the future financial condition and results of operations of the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the Business Combination</w:t>
      </w:r>
    </w:p>
    <w:p>
      <w:pPr>
        <w:spacing w:after="0" w:line="186" w:lineRule="exact"/>
        <w:rPr>
          <w:sz w:val="20"/>
          <w:szCs w:val="20"/>
          <w:color w:val="auto"/>
        </w:rPr>
      </w:pPr>
    </w:p>
    <w:p>
      <w:pPr>
        <w:jc w:val="both"/>
        <w:ind w:firstLine="258"/>
        <w:spacing w:after="0" w:line="282" w:lineRule="auto"/>
        <w:rPr>
          <w:sz w:val="20"/>
          <w:szCs w:val="20"/>
          <w:color w:val="auto"/>
        </w:rPr>
      </w:pPr>
      <w:r>
        <w:rPr>
          <w:rFonts w:ascii="Arial" w:cs="Arial" w:eastAsia="Arial" w:hAnsi="Arial"/>
          <w:sz w:val="13"/>
          <w:szCs w:val="13"/>
          <w:color w:val="auto"/>
        </w:rPr>
        <w:t>On the Closing Date, Merger Sub merged with and into OLD SAB, with OLD SAB as the surviving company in the Merger, and, after giving effect to such Merger, OLD SAB was renamed SAB Sciences, Inc. and became a wholly-owned subsidiary of BCYP and (ii) BCYP changed its name to “SAB Biotherapeutics, Inc.” In accordance with the terms and subject to the conditions of the Business Combination Agreement, at the Effective Time (i) each share of common stock and preferred stock of OLD SAB outstanding as of immediately prior to the Effective Time was exchanged for shares Common Stock based on the agreed upon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Earnout RSUs related to shares of Common Stock. Additionally, holders of OLD SAB common stock and preferred stock are entitled to the Earnout Shares that were issued into escrow at the Closing, which will be released if certain conditions are met within the Earnout Period. The total number of Earnout Shares and shares underlying the Earnout RSUs equaled 12,000,000 shares of Common Stock, in the aggregate.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Accounting for the Business Combination</w:t>
      </w:r>
    </w:p>
    <w:p>
      <w:pPr>
        <w:spacing w:after="0" w:line="186"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The Business Combination is accounted for as a reverse recapitalization in conformity with GAAP. Under this method of accounting, BCYP is treated as the “acquired” company for financial reporting purposes. This determination was primarily based on OLD SAB’s stockholders comprising a relative majority of the voting power of the Company, OLD SAB’s operations prior to the acquisition comprising the only ongoing operations of the Company, the majority of OLD SAB’s board of directors being appointed by the Company, and OLD SAB’s senior management comprising a majority of the senior management of the Company. Accordingly, for accounting purposes, the financial statements of the Company represent a continuation of the financial statements of OLD SAB with the Business Combination being treated as the equivalent of the Company issuing stock for the net assets of BCYP, accompanied by a recapitalization. The net assets of BCYP will be stated at historical costs, with no goodwill or other intangible assets recorded.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Events in Connection with the Business Combination</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On October 20, 2021, at a special meeting of BCYP stockholders, the Business Combination was approved. In connection with this vote, shareholders exercised their rights to redeem 8,030,289 shares of BCYP Common Stock at a price of approximately $10.10 per share. Approximately $81.1 million from the Trust Account was used to pay the stockholders. In addition, approximately $13.1 million from the Trust Account was escrowed pursuant to that certain Forward Share Purchase Agreement entered into by and between BCYP and Radcliffe SPAC Master Fund, L.P., a Cayman Islands limited partnership (“Radcliffe”). The remaining amount of approximately $21.9 million was released to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Pro Forma Presentation</w:t>
      </w:r>
    </w:p>
    <w:p>
      <w:pPr>
        <w:spacing w:after="0" w:line="186"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The following unaudited pro forma combined condensed consolidated financial statements are based on the separate historical financial statements of SAB Biotherapeutics and BCYP after giving effect to the Business Combination, including pro forma assumptions and adjustments related to the merger, as described in the accompanying notes to the unaudited pro forma combined condensed consolidated financial statements. The unaudited pro forma combined condensed consolidated balance sheet as of September 30, 2021, is presented as if the merger had occurred on September 30, 2021. The unaudited pro forma combined condensed consolidated statement of operations for the nine months ended September 30, 2021, and the year ended December 31, 2020, gives effect to the merger, as if it had been completed on January 1, 2020. The historical financial information has been adjusted on a pro forma basis to reflect factually supportable items that are directly attributable to the merger and, with respect to the statement of operations only, expected to have a continuing impact on consolidated results of operations.</w:t>
      </w:r>
    </w:p>
    <w:p>
      <w:pPr>
        <w:spacing w:after="0" w:line="137"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unaudited pro forma combined condensed consolidated statement of operations does not include the effects of the costs associated with any integration or restructuring activities resulting from the merger, as they are nonrecurring in nature. However, the unaudited pro forma combined condensed consolidated balance sheet includes a pro forma adjustment to reduce cash and shareholders’ equity to reflect the payment of certain anticipated merger costs.</w:t>
      </w:r>
    </w:p>
    <w:p>
      <w:pPr>
        <w:spacing w:after="0" w:line="141"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The following unaudited pro forma condensed combined financial information presents the combination of the financial information of BCYP and SAB Biotherapeutics, adjusted to give effect to the Merger and other events contemplated by the Business Combination Agreement.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4" w:name="page35"/>
    <w:bookmarkEnd w:id="34"/>
    <w:p>
      <w:pPr>
        <w:jc w:val="both"/>
        <w:ind w:firstLine="258"/>
        <w:spacing w:after="0" w:line="271" w:lineRule="auto"/>
        <w:rPr>
          <w:sz w:val="20"/>
          <w:szCs w:val="20"/>
          <w:color w:val="auto"/>
        </w:rPr>
      </w:pPr>
      <w:r>
        <w:rPr>
          <w:rFonts w:ascii="Arial" w:cs="Arial" w:eastAsia="Arial" w:hAnsi="Arial"/>
          <w:sz w:val="14"/>
          <w:szCs w:val="14"/>
          <w:color w:val="auto"/>
        </w:rPr>
        <w:t>The unaudited pro forma condensed combined balance sheet as of September 30, 2021, combines the unaudited adjusted balance sheet of BCYP with the historical unaudited condensed consolidated balance sheet of SAB Biotherapeutics on a pro forma basis as if the Merger and the other events contemplated by the Business Combination Agreement, summarized below, had been consummated on September 30, 2021.</w:t>
      </w:r>
    </w:p>
    <w:p>
      <w:pPr>
        <w:spacing w:after="0" w:line="141"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The unaudited pro forma condensed combined statement of operations for the nine months ended September 30, 2021, combines the historical unaudited statement of operations of BCYP with the historical unaudited consolidated statement of operations of SAB Biotherapeutics for the nine months ended September 30, 2021, and the year ended December 31, 2020 combines the historical audited statement of operations of BCYP for the period from November 12, 2020 (inception) through December 31, 2020 with the historical audited consolidated statement of operations of SAB Biotherapeutics for the year ended December 31, 2020, giving effect to the transaction as if the Merger and other events contemplated by the Business Combination Agreement had been consummated on January 1, 2020.</w:t>
      </w:r>
    </w:p>
    <w:p>
      <w:pPr>
        <w:spacing w:after="0" w:line="148"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31"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The pro forma adjustments reflecting the consummation of the Business Combination are based on certain currently available information and certain assumptions and methodologies that BCYP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BCYP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33"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 unaudited pro forma condensed combined financial information should be read in conjunction with the historical financial statements and notes thereto of BCYP and SAB Biotherapeutics.</w:t>
      </w:r>
    </w:p>
    <w:p>
      <w:pPr>
        <w:spacing w:after="0" w:line="124"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Pursuant to the Business Combination Agreement dated June 21, 2021, and as amended on August 12, 2021, between BCYP and SAB Biotherapeutics, Inc. the Business Combination was consummated on October 22, 2021. Upon closing of the Business combination, Big Cypress Merger Sub merged with SAB Biotherapeutics, with SAB Biotherapeutics as the surviving company of the Merger. Upon closing of the Business Combination, Big Cypress Acquisition Corp. changed its name to “SAB Biotherapeutics, Inc.”. The Business Combination was accounted for as a reverse merger in which SAB Biotherapeutics issued stock for the net assets of BCYP, accompanied by a recapitalization. The net assets of BCYP are stated at historical cost, with no goodwill or other intangible assets recorded upon closing. Historical operations will be those of SAB Biotherapeutics Inc.</w:t>
      </w:r>
    </w:p>
    <w:p>
      <w:pPr>
        <w:spacing w:after="0" w:line="148"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aggregate consideration paid to SAB Biotherapeutics, Inc. upon the closing of the Merger was 36,465,343 shares of New SAB Biotherapeutics common stock. The unaudited pro forma condensed combined financial information contained herein incorporates the results of BCYP’s shareholders having elected to redeem 8,030,289 shares of their Public Shares for $81,111,920 in cash based upon actual redemptions.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SAB Biotherapeutics, Inc. and Subsidiaries and Big Cypress Acquisition Corp.</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Combined Balance Sheet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September 30,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6"/>
              </w:rPr>
              <w:t>As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6"/>
          </w:tcPr>
          <w:p>
            <w:pPr>
              <w:jc w:val="right"/>
              <w:ind w:right="1022"/>
              <w:spacing w:after="0"/>
              <w:rPr>
                <w:sz w:val="20"/>
                <w:szCs w:val="20"/>
                <w:color w:val="auto"/>
              </w:rPr>
            </w:pPr>
            <w:r>
              <w:rPr>
                <w:rFonts w:ascii="Arial" w:cs="Arial" w:eastAsia="Arial" w:hAnsi="Arial"/>
                <w:sz w:val="13"/>
                <w:szCs w:val="13"/>
                <w:b w:val="1"/>
                <w:bCs w:val="1"/>
                <w:color w:val="auto"/>
              </w:rPr>
              <w:t>September 30, 2021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September 30, 2021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top w:val="single" w:sz="8" w:color="auto"/>
            </w:tcBorders>
            <w:gridSpan w:val="3"/>
          </w:tcPr>
          <w:p>
            <w:pPr>
              <w:jc w:val="center"/>
              <w:ind w:right="256"/>
              <w:spacing w:after="0"/>
              <w:rPr>
                <w:sz w:val="20"/>
                <w:szCs w:val="20"/>
                <w:color w:val="auto"/>
              </w:rPr>
            </w:pPr>
            <w:r>
              <w:rPr>
                <w:rFonts w:ascii="Arial" w:cs="Arial" w:eastAsia="Arial" w:hAnsi="Arial"/>
                <w:sz w:val="13"/>
                <w:szCs w:val="13"/>
                <w:b w:val="1"/>
                <w:bCs w:val="1"/>
                <w:color w:val="auto"/>
                <w:w w:val="88"/>
              </w:rPr>
              <w:t>SAB Biotherapeutics,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6"/>
              </w:rPr>
              <w:t>Big Cypress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36"/>
              <w:spacing w:after="0"/>
              <w:rPr>
                <w:sz w:val="20"/>
                <w:szCs w:val="20"/>
                <w:color w:val="auto"/>
              </w:rPr>
            </w:pPr>
            <w:r>
              <w:rPr>
                <w:rFonts w:ascii="Arial" w:cs="Arial" w:eastAsia="Arial" w:hAnsi="Arial"/>
                <w:sz w:val="13"/>
                <w:szCs w:val="13"/>
                <w:b w:val="1"/>
                <w:bCs w:val="1"/>
                <w:color w:val="auto"/>
                <w:w w:val="92"/>
              </w:rPr>
              <w:t>Inc and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2"/>
              <w:spacing w:after="0"/>
              <w:rPr>
                <w:sz w:val="20"/>
                <w:szCs w:val="20"/>
                <w:color w:val="auto"/>
              </w:rPr>
            </w:pPr>
            <w:r>
              <w:rPr>
                <w:rFonts w:ascii="Arial" w:cs="Arial" w:eastAsia="Arial" w:hAnsi="Arial"/>
                <w:sz w:val="13"/>
                <w:szCs w:val="13"/>
                <w:b w:val="1"/>
                <w:bCs w:val="1"/>
                <w:color w:val="auto"/>
                <w:w w:val="87"/>
              </w:rPr>
              <w:t>Acquisition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36"/>
              <w:spacing w:after="0"/>
              <w:rPr>
                <w:sz w:val="20"/>
                <w:szCs w:val="20"/>
                <w:color w:val="auto"/>
              </w:rPr>
            </w:pPr>
            <w:r>
              <w:rPr>
                <w:rFonts w:ascii="Arial" w:cs="Arial" w:eastAsia="Arial" w:hAnsi="Arial"/>
                <w:sz w:val="13"/>
                <w:szCs w:val="13"/>
                <w:b w:val="1"/>
                <w:bCs w:val="1"/>
                <w:color w:val="auto"/>
                <w:w w:val="89"/>
              </w:rPr>
              <w:t>Transaction</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36"/>
              <w:spacing w:after="0"/>
              <w:rPr>
                <w:sz w:val="20"/>
                <w:szCs w:val="20"/>
                <w:color w:val="auto"/>
              </w:rPr>
            </w:pPr>
            <w:r>
              <w:rPr>
                <w:rFonts w:ascii="Arial" w:cs="Arial" w:eastAsia="Arial" w:hAnsi="Arial"/>
                <w:sz w:val="13"/>
                <w:szCs w:val="13"/>
                <w:b w:val="1"/>
                <w:bCs w:val="1"/>
                <w:color w:val="auto"/>
                <w:w w:val="85"/>
              </w:rPr>
              <w:t>Subsidiaries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22"/>
              <w:spacing w:after="0"/>
              <w:rPr>
                <w:sz w:val="20"/>
                <w:szCs w:val="20"/>
                <w:color w:val="auto"/>
              </w:rPr>
            </w:pPr>
            <w:r>
              <w:rPr>
                <w:rFonts w:ascii="Arial" w:cs="Arial" w:eastAsia="Arial" w:hAnsi="Arial"/>
                <w:sz w:val="13"/>
                <w:szCs w:val="13"/>
                <w:b w:val="1"/>
                <w:bCs w:val="1"/>
                <w:color w:val="auto"/>
                <w:w w:val="92"/>
              </w:rPr>
              <w:t>Corp</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36"/>
              <w:spacing w:after="0"/>
              <w:rPr>
                <w:sz w:val="20"/>
                <w:szCs w:val="20"/>
                <w:color w:val="auto"/>
              </w:rPr>
            </w:pPr>
            <w:r>
              <w:rPr>
                <w:rFonts w:ascii="Arial" w:cs="Arial" w:eastAsia="Arial" w:hAnsi="Arial"/>
                <w:sz w:val="13"/>
                <w:szCs w:val="13"/>
                <w:b w:val="1"/>
                <w:bCs w:val="1"/>
                <w:color w:val="auto"/>
                <w:w w:val="86"/>
              </w:rPr>
              <w:t>Accounting</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436"/>
              <w:spacing w:after="0"/>
              <w:rPr>
                <w:sz w:val="20"/>
                <w:szCs w:val="20"/>
                <w:color w:val="auto"/>
              </w:rPr>
            </w:pPr>
            <w:r>
              <w:rPr>
                <w:rFonts w:ascii="Arial" w:cs="Arial" w:eastAsia="Arial" w:hAnsi="Arial"/>
                <w:sz w:val="13"/>
                <w:szCs w:val="13"/>
                <w:b w:val="1"/>
                <w:bCs w:val="1"/>
                <w:color w:val="auto"/>
                <w:w w:val="91"/>
              </w:rPr>
              <w:t>(Historical)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2"/>
              <w:spacing w:after="0"/>
              <w:rPr>
                <w:sz w:val="20"/>
                <w:szCs w:val="20"/>
                <w:color w:val="auto"/>
              </w:rPr>
            </w:pPr>
            <w:r>
              <w:rPr>
                <w:rFonts w:ascii="Arial" w:cs="Arial" w:eastAsia="Arial" w:hAnsi="Arial"/>
                <w:sz w:val="13"/>
                <w:szCs w:val="13"/>
                <w:b w:val="1"/>
                <w:bCs w:val="1"/>
                <w:color w:val="auto"/>
                <w:w w:val="91"/>
              </w:rPr>
              <w:t>(Historical)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36"/>
              <w:spacing w:after="0"/>
              <w:rPr>
                <w:sz w:val="20"/>
                <w:szCs w:val="20"/>
                <w:color w:val="auto"/>
              </w:rPr>
            </w:pPr>
            <w:r>
              <w:rPr>
                <w:rFonts w:ascii="Arial" w:cs="Arial" w:eastAsia="Arial" w:hAnsi="Arial"/>
                <w:sz w:val="13"/>
                <w:szCs w:val="13"/>
                <w:b w:val="1"/>
                <w:bCs w:val="1"/>
                <w:color w:val="auto"/>
                <w:w w:val="88"/>
              </w:rPr>
              <w:t>Adjustments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10,751</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27,756</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29,954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(5,000)</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B</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(4,221)</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C</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Cash held in trust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7,291</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Accounts receivable, net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10,213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10,213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944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80" w:type="dxa"/>
            <w:vAlign w:val="bottom"/>
            <w:tcBorders>
              <w:top w:val="single" w:sz="8" w:color="CCEEFF"/>
            </w:tcBorders>
          </w:tcPr>
          <w:p>
            <w:pPr>
              <w:ind w:left="280"/>
              <w:spacing w:after="0" w:line="143" w:lineRule="exact"/>
              <w:rPr>
                <w:sz w:val="20"/>
                <w:szCs w:val="20"/>
                <w:color w:val="auto"/>
              </w:rPr>
            </w:pPr>
            <w:r>
              <w:rPr>
                <w:rFonts w:ascii="Arial" w:cs="Arial" w:eastAsia="Arial" w:hAnsi="Arial"/>
                <w:sz w:val="13"/>
                <w:szCs w:val="13"/>
                <w:color w:val="auto"/>
              </w:rPr>
              <w:t>Total current assets</w:t>
            </w: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21,908</w:t>
            </w:r>
          </w:p>
        </w:tc>
        <w:tc>
          <w:tcPr>
            <w:tcW w:w="3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771</w:t>
            </w: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25,826</w:t>
            </w:r>
          </w:p>
        </w:tc>
        <w:tc>
          <w:tcPr>
            <w:tcW w:w="1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48,505</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Non-current 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Marketable securities held in Trust Account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116,158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(116,158)</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Equipment, net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22,568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Deferred offering costs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right-of-use 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2,590</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Finance lease right-of-use assets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4,065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non-current assets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29,223</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116,158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(116,158</w:t>
            </w:r>
          </w:p>
        </w:tc>
        <w:tc>
          <w:tcPr>
            <w:tcW w:w="1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tcPr>
          <w:p>
            <w:pPr>
              <w:spacing w:after="0" w:line="143" w:lineRule="exact"/>
              <w:rPr>
                <w:sz w:val="20"/>
                <w:szCs w:val="20"/>
                <w:color w:val="auto"/>
              </w:rPr>
            </w:pPr>
            <w:r>
              <w:rPr>
                <w:rFonts w:ascii="Arial" w:cs="Arial" w:eastAsia="Arial" w:hAnsi="Arial"/>
                <w:sz w:val="13"/>
                <w:szCs w:val="13"/>
                <w:color w:val="auto"/>
              </w:rPr>
              <w:t>TOTAL ASSETS</w:t>
            </w:r>
          </w:p>
        </w:tc>
        <w:tc>
          <w:tcPr>
            <w:tcW w:w="34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51,131</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116,929</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(90,332</w:t>
            </w:r>
          </w:p>
        </w:tc>
        <w:tc>
          <w:tcPr>
            <w:tcW w:w="140" w:type="dxa"/>
            <w:vAlign w:val="bottom"/>
          </w:tcPr>
          <w:p>
            <w:pPr>
              <w:jc w:val="right"/>
              <w:ind w:right="16"/>
              <w:spacing w:after="0" w:line="143" w:lineRule="exact"/>
              <w:rPr>
                <w:sz w:val="20"/>
                <w:szCs w:val="20"/>
                <w:color w:val="auto"/>
              </w:rPr>
            </w:pPr>
            <w:r>
              <w:rPr>
                <w:rFonts w:ascii="Arial" w:cs="Arial" w:eastAsia="Arial" w:hAnsi="Arial"/>
                <w:sz w:val="13"/>
                <w:szCs w:val="13"/>
                <w:color w:val="auto"/>
                <w:w w:val="91"/>
              </w:rPr>
              <w:t>)</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77,728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4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LIABILITIES, TEMPORARY EQUITY AND STOCKHOLDERS’ DEFICIT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34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4,123</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Notes payable - current portion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lease liabilities, current portion</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1,035</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Finance lease liabilities, current portion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180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Due to related party</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Deferred grant income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5,009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80" w:type="dxa"/>
            <w:vAlign w:val="bottom"/>
            <w:tcBorders>
              <w:top w:val="single" w:sz="8" w:color="CCEEFF"/>
            </w:tcBorders>
          </w:tcPr>
          <w:p>
            <w:pPr>
              <w:ind w:left="280"/>
              <w:spacing w:after="0" w:line="143" w:lineRule="exact"/>
              <w:rPr>
                <w:sz w:val="20"/>
                <w:szCs w:val="20"/>
                <w:color w:val="auto"/>
              </w:rPr>
            </w:pPr>
            <w:r>
              <w:rPr>
                <w:rFonts w:ascii="Arial" w:cs="Arial" w:eastAsia="Arial" w:hAnsi="Arial"/>
                <w:sz w:val="13"/>
                <w:szCs w:val="13"/>
                <w:color w:val="auto"/>
              </w:rPr>
              <w:t>Total current liabilities</w:t>
            </w: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10,471</w:t>
            </w:r>
          </w:p>
        </w:tc>
        <w:tc>
          <w:tcPr>
            <w:tcW w:w="3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322</w:t>
            </w: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10,793</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Non-current liabilities: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Operating lease liabilities, noncurrent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1,754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Finance lease liabilities, noncurrent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3,803</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Notes payable, noncurrent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Warrant liability</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Deferred underwriting fee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4,221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(4,221)</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C</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Earnout liability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F</w:t>
            </w: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non-current liabilities</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5,582</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(4,221</w:t>
            </w:r>
          </w:p>
        </w:tc>
        <w:tc>
          <w:tcPr>
            <w:tcW w:w="1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16,053</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10,072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(4,221</w:t>
            </w:r>
          </w:p>
        </w:tc>
        <w:tc>
          <w:tcPr>
            <w:tcW w:w="140" w:type="dxa"/>
            <w:vAlign w:val="bottom"/>
            <w:tcBorders>
              <w:bottom w:val="single" w:sz="8" w:color="CCEEFF"/>
            </w:tcBorders>
          </w:tcPr>
          <w:p>
            <w:pPr>
              <w:jc w:val="right"/>
              <w:ind w:right="16"/>
              <w:spacing w:after="0" w:line="143" w:lineRule="exact"/>
              <w:rPr>
                <w:sz w:val="20"/>
                <w:szCs w:val="20"/>
                <w:color w:val="auto"/>
              </w:rPr>
            </w:pPr>
            <w:r>
              <w:rPr>
                <w:rFonts w:ascii="Arial" w:cs="Arial" w:eastAsia="Arial" w:hAnsi="Arial"/>
                <w:sz w:val="13"/>
                <w:szCs w:val="13"/>
                <w:color w:val="auto"/>
                <w:w w:val="91"/>
              </w:rPr>
              <w:t>)</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21,904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Temporary equity:</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Common stock subject to possible redemption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116,150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(116,150)</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4580" w:type="dxa"/>
            <w:vAlign w:val="bottom"/>
          </w:tcPr>
          <w:p>
            <w:pPr>
              <w:spacing w:after="0"/>
              <w:rPr>
                <w:sz w:val="20"/>
                <w:szCs w:val="20"/>
                <w:color w:val="auto"/>
              </w:rPr>
            </w:pPr>
            <w:r>
              <w:rPr>
                <w:rFonts w:ascii="Arial" w:cs="Arial" w:eastAsia="Arial" w:hAnsi="Arial"/>
                <w:sz w:val="13"/>
                <w:szCs w:val="13"/>
                <w:color w:val="auto"/>
              </w:rPr>
              <w:t>Stockholders’ equity (deficit):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Series A Preferred stock</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E</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Series A-1 Preferred stock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Series A-2 Preferred stock</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Series A-2A Preferred stock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Series B Preferred stock</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Common stock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3</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G</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52,650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35,039</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73,394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(9,293)</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D</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(2)</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(5,000)</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B</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2,500</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G</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(2,500)</w:t>
            </w:r>
          </w:p>
        </w:tc>
        <w:tc>
          <w:tcPr>
            <w:tcW w:w="5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G</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tcPr>
          <w:p>
            <w:pPr>
              <w:ind w:left="120"/>
              <w:spacing w:after="0"/>
              <w:rPr>
                <w:sz w:val="20"/>
                <w:szCs w:val="20"/>
                <w:color w:val="auto"/>
              </w:rPr>
            </w:pPr>
            <w:r>
              <w:rPr>
                <w:rFonts w:ascii="Arial" w:cs="Arial" w:eastAsia="Arial" w:hAnsi="Arial"/>
                <w:sz w:val="13"/>
                <w:szCs w:val="13"/>
                <w:color w:val="auto"/>
              </w:rPr>
              <w:t>Retained earnings (deficit)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16"/>
              <w:spacing w:after="0"/>
              <w:rPr>
                <w:sz w:val="20"/>
                <w:szCs w:val="20"/>
                <w:color w:val="auto"/>
              </w:rPr>
            </w:pPr>
            <w:r>
              <w:rPr>
                <w:rFonts w:ascii="Arial" w:cs="Arial" w:eastAsia="Arial" w:hAnsi="Arial"/>
                <w:sz w:val="13"/>
                <w:szCs w:val="13"/>
                <w:color w:val="auto"/>
              </w:rPr>
              <w:t>(17,577)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02"/>
              <w:spacing w:after="0"/>
              <w:rPr>
                <w:sz w:val="20"/>
                <w:szCs w:val="20"/>
                <w:color w:val="auto"/>
              </w:rPr>
            </w:pPr>
            <w:r>
              <w:rPr>
                <w:rFonts w:ascii="Arial" w:cs="Arial" w:eastAsia="Arial" w:hAnsi="Arial"/>
                <w:sz w:val="13"/>
                <w:szCs w:val="13"/>
                <w:color w:val="auto"/>
              </w:rPr>
              <w:t>(9,293)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9,293</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13"/>
                <w:szCs w:val="13"/>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3"/>
                <w:szCs w:val="13"/>
                <w:color w:val="auto"/>
              </w:rPr>
              <w:t>(17,577)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F</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35,078</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(9,293</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(86,111</w:t>
            </w:r>
          </w:p>
        </w:tc>
        <w:tc>
          <w:tcPr>
            <w:tcW w:w="1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91"/>
              </w:rPr>
              <w:t>)</w:t>
            </w: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80" w:type="dxa"/>
            <w:vAlign w:val="bottom"/>
          </w:tcPr>
          <w:p>
            <w:pPr>
              <w:spacing w:after="0" w:line="125" w:lineRule="exact"/>
              <w:rPr>
                <w:sz w:val="20"/>
                <w:szCs w:val="20"/>
                <w:color w:val="auto"/>
              </w:rPr>
            </w:pPr>
            <w:r>
              <w:rPr>
                <w:rFonts w:ascii="Arial" w:cs="Arial" w:eastAsia="Arial" w:hAnsi="Arial"/>
                <w:sz w:val="13"/>
                <w:szCs w:val="13"/>
                <w:color w:val="auto"/>
              </w:rPr>
              <w:t>TOTAL LIABILITIES, TEMPORARY EQUITY AND STOCKHOLDERS’ EQUITY</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00" w:type="dxa"/>
            <w:vAlign w:val="bottom"/>
            <w:gridSpan w:val="2"/>
          </w:tcPr>
          <w:p>
            <w:pPr>
              <w:spacing w:after="0"/>
              <w:rPr>
                <w:sz w:val="20"/>
                <w:szCs w:val="20"/>
                <w:color w:val="auto"/>
              </w:rPr>
            </w:pPr>
            <w:r>
              <w:rPr>
                <w:rFonts w:ascii="Arial" w:cs="Arial" w:eastAsia="Arial" w:hAnsi="Arial"/>
                <w:sz w:val="13"/>
                <w:szCs w:val="13"/>
                <w:color w:val="auto"/>
              </w:rPr>
              <w:t>(DEFICIT)</w:t>
            </w:r>
          </w:p>
        </w:tc>
        <w:tc>
          <w:tcPr>
            <w:tcW w:w="34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56"/>
              <w:spacing w:after="0"/>
              <w:rPr>
                <w:sz w:val="20"/>
                <w:szCs w:val="20"/>
                <w:color w:val="auto"/>
              </w:rPr>
            </w:pPr>
            <w:r>
              <w:rPr>
                <w:rFonts w:ascii="Arial" w:cs="Arial" w:eastAsia="Arial" w:hAnsi="Arial"/>
                <w:sz w:val="13"/>
                <w:szCs w:val="13"/>
                <w:color w:val="auto"/>
              </w:rPr>
              <w:t>51,131</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2"/>
              <w:spacing w:after="0"/>
              <w:rPr>
                <w:sz w:val="20"/>
                <w:szCs w:val="20"/>
                <w:color w:val="auto"/>
              </w:rPr>
            </w:pPr>
            <w:r>
              <w:rPr>
                <w:rFonts w:ascii="Arial" w:cs="Arial" w:eastAsia="Arial" w:hAnsi="Arial"/>
                <w:sz w:val="13"/>
                <w:szCs w:val="13"/>
                <w:color w:val="auto"/>
              </w:rPr>
              <w:t>116,929</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6"/>
              <w:spacing w:after="0"/>
              <w:rPr>
                <w:sz w:val="20"/>
                <w:szCs w:val="20"/>
                <w:color w:val="auto"/>
              </w:rPr>
            </w:pPr>
            <w:r>
              <w:rPr>
                <w:rFonts w:ascii="Arial" w:cs="Arial" w:eastAsia="Arial" w:hAnsi="Arial"/>
                <w:sz w:val="13"/>
                <w:szCs w:val="13"/>
                <w:color w:val="auto"/>
              </w:rPr>
              <w:t>(90,332)</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77,728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Adjustments to Unaudited Pro Forma Condensed Combined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pro forma adjustments included in the unaudited pro forma condensed combined balance sheet as of September 30, 2021, are as follows:</w:t>
      </w:r>
    </w:p>
    <w:p>
      <w:pPr>
        <w:spacing w:after="0" w:line="182" w:lineRule="exact"/>
        <w:rPr>
          <w:sz w:val="20"/>
          <w:szCs w:val="20"/>
          <w:color w:val="auto"/>
        </w:rPr>
      </w:pPr>
    </w:p>
    <w:p>
      <w:pPr>
        <w:ind w:left="520" w:hanging="257"/>
        <w:spacing w:after="0" w:line="263"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reclassification of marketable securities held in the BCYP Trust Account to cash, restricted cash held in escrow related to a put option on the New SAB Biotherapeutics’ shares and the reclassification of common stock to permanent equity based on actual redemptions.</w:t>
      </w:r>
    </w:p>
    <w:p>
      <w:pPr>
        <w:ind w:left="520" w:hanging="257"/>
        <w:spacing w:after="0" w:line="25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preliminary estimated direct and incremental transaction costs to be incurred. These costs are accounted as a reduction in the combined cash account with a corresponding reduction in APIC consistent with the treatment described in SEC Staff Accounting Bulletin Topic 5.A.</w:t>
      </w:r>
    </w:p>
    <w:p>
      <w:pPr>
        <w:spacing w:after="0" w:line="1" w:lineRule="exact"/>
        <w:rPr>
          <w:rFonts w:ascii="Arial" w:cs="Arial" w:eastAsia="Arial" w:hAnsi="Arial"/>
          <w:sz w:val="14"/>
          <w:szCs w:val="14"/>
          <w:color w:val="auto"/>
        </w:rPr>
      </w:pPr>
    </w:p>
    <w:p>
      <w:pPr>
        <w:ind w:left="520" w:hanging="257"/>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settlement of the deferred underwriting fee.</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recapitalization of BCYP’s historical accumulated deficit.</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recapitalization of historical amounts.</w:t>
      </w:r>
    </w:p>
    <w:p>
      <w:pPr>
        <w:spacing w:after="0" w:line="10" w:lineRule="exact"/>
        <w:rPr>
          <w:rFonts w:ascii="Arial" w:cs="Arial" w:eastAsia="Arial" w:hAnsi="Arial"/>
          <w:sz w:val="14"/>
          <w:szCs w:val="14"/>
          <w:color w:val="auto"/>
        </w:rPr>
      </w:pPr>
    </w:p>
    <w:p>
      <w:pPr>
        <w:ind w:left="520" w:hanging="257"/>
        <w:spacing w:after="0" w:line="25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potential earnout SAB shareholders could receive in the merged company under the Merger Agreement. Since the earnout is accounted for as an equity transaction, there is no change in equity as the entry would be to deemed dividends and APIC.</w:t>
      </w:r>
    </w:p>
    <w:p>
      <w:pPr>
        <w:spacing w:after="0" w:line="1" w:lineRule="exact"/>
        <w:rPr>
          <w:rFonts w:ascii="Arial" w:cs="Arial" w:eastAsia="Arial" w:hAnsi="Arial"/>
          <w:sz w:val="14"/>
          <w:szCs w:val="14"/>
          <w:color w:val="auto"/>
        </w:rPr>
      </w:pPr>
    </w:p>
    <w:p>
      <w:pPr>
        <w:ind w:left="520" w:hanging="257"/>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Issuance of Company shares in lieu of cash for professional services related to the transaction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287"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SAB Biotherapeutics, Inc. and Subsidiaries and Big Cypress Acquisition Corp.</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Combined Statement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nine months ended September 30,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7"/>
          </w:tcPr>
          <w:p>
            <w:pPr>
              <w:jc w:val="center"/>
              <w:ind w:right="415"/>
              <w:spacing w:after="0"/>
              <w:rPr>
                <w:sz w:val="20"/>
                <w:szCs w:val="20"/>
                <w:color w:val="auto"/>
              </w:rPr>
            </w:pPr>
            <w:r>
              <w:rPr>
                <w:rFonts w:ascii="Arial" w:cs="Arial" w:eastAsia="Arial" w:hAnsi="Arial"/>
                <w:sz w:val="14"/>
                <w:szCs w:val="14"/>
                <w:b w:val="1"/>
                <w:bCs w:val="1"/>
                <w:color w:val="auto"/>
                <w:w w:val="94"/>
              </w:rPr>
              <w:t>For the Nine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left="988"/>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7"/>
          </w:tcPr>
          <w:p>
            <w:pPr>
              <w:jc w:val="center"/>
              <w:ind w:right="415"/>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179"/>
              <w:spacing w:after="0" w:line="157" w:lineRule="exact"/>
              <w:rPr>
                <w:sz w:val="20"/>
                <w:szCs w:val="20"/>
                <w:color w:val="auto"/>
              </w:rPr>
            </w:pPr>
            <w:r>
              <w:rPr>
                <w:rFonts w:ascii="Arial" w:cs="Arial" w:eastAsia="Arial" w:hAnsi="Arial"/>
                <w:sz w:val="14"/>
                <w:szCs w:val="14"/>
                <w:b w:val="1"/>
                <w:bCs w:val="1"/>
                <w:color w:val="auto"/>
                <w:w w:val="94"/>
              </w:rPr>
              <w:t>SAB</w:t>
            </w: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1"/>
              </w:rPr>
              <w:t>Biotherapeutics,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3"/>
              </w:rPr>
              <w:t>Inc and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90"/>
              </w:rPr>
              <w:t>Big Cypress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Transaction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88"/>
              </w:rPr>
              <w:t>Subsidiaries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93"/>
              </w:rPr>
              <w:t>Acquisition Corp</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ind w:left="180"/>
              <w:spacing w:after="0"/>
              <w:rPr>
                <w:sz w:val="20"/>
                <w:szCs w:val="20"/>
                <w:color w:val="auto"/>
              </w:rPr>
            </w:pPr>
            <w:r>
              <w:rPr>
                <w:rFonts w:ascii="Arial" w:cs="Arial" w:eastAsia="Arial" w:hAnsi="Arial"/>
                <w:sz w:val="14"/>
                <w:szCs w:val="14"/>
                <w:b w:val="1"/>
                <w:bCs w:val="1"/>
                <w:color w:val="auto"/>
              </w:rPr>
              <w:t>Accounting</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5"/>
              </w:rPr>
              <w:t>(Historical)</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95"/>
              </w:rPr>
              <w:t>(Historical)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Revenue</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49,818</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49,818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Formation and operating costs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315"/>
              <w:spacing w:after="0"/>
              <w:rPr>
                <w:sz w:val="20"/>
                <w:szCs w:val="20"/>
                <w:color w:val="auto"/>
              </w:rPr>
            </w:pPr>
            <w:r>
              <w:rPr>
                <w:rFonts w:ascii="Arial" w:cs="Arial" w:eastAsia="Arial" w:hAnsi="Arial"/>
                <w:sz w:val="14"/>
                <w:szCs w:val="14"/>
                <w:color w:val="auto"/>
              </w:rPr>
              <w:t>704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46,536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46,536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9,332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9,332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costs and expenses</w:t>
            </w: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704</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0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color w:val="auto"/>
              </w:rPr>
              <w:t>Gain on sale of assets</w:t>
            </w:r>
          </w:p>
        </w:tc>
        <w:tc>
          <w:tcPr>
            <w:tcW w:w="10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110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(6,050</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(704</w:t>
            </w:r>
          </w:p>
        </w:tc>
        <w:tc>
          <w:tcPr>
            <w:tcW w:w="30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
                <w:szCs w:val="1"/>
                <w:color w:val="auto"/>
                <w:w w:val="4294967281"/>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line="153" w:lineRule="exact"/>
              <w:rPr>
                <w:sz w:val="20"/>
                <w:szCs w:val="20"/>
                <w:color w:val="auto"/>
              </w:rPr>
            </w:pPr>
            <w:r>
              <w:rPr>
                <w:rFonts w:ascii="Arial" w:cs="Arial" w:eastAsia="Arial" w:hAnsi="Arial"/>
                <w:sz w:val="14"/>
                <w:szCs w:val="14"/>
                <w:b w:val="1"/>
                <w:bCs w:val="1"/>
                <w:color w:val="auto"/>
              </w:rPr>
              <w:t>Other income (expense):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670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Interest income (expense)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315"/>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ind w:left="1020"/>
              <w:spacing w:after="0"/>
              <w:rPr>
                <w:sz w:val="20"/>
                <w:szCs w:val="20"/>
                <w:color w:val="auto"/>
              </w:rPr>
            </w:pPr>
            <w:r>
              <w:rPr>
                <w:rFonts w:ascii="Arial" w:cs="Arial" w:eastAsia="Arial" w:hAnsi="Arial"/>
                <w:sz w:val="14"/>
                <w:szCs w:val="14"/>
                <w:color w:val="auto"/>
              </w:rPr>
              <w:t xml:space="preserve">(8)  </w:t>
            </w:r>
            <w:r>
              <w:rPr>
                <w:rFonts w:ascii="Arial" w:cs="Arial" w:eastAsia="Arial" w:hAnsi="Arial"/>
                <w:sz w:val="14"/>
                <w:szCs w:val="14"/>
                <w:b w:val="1"/>
                <w:bCs w:val="1"/>
                <w:color w:val="auto"/>
              </w:rPr>
              <w:t>AA</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(228)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Offering costs allocated to warrants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275"/>
              <w:spacing w:after="0"/>
              <w:rPr>
                <w:sz w:val="20"/>
                <w:szCs w:val="20"/>
                <w:color w:val="auto"/>
              </w:rPr>
            </w:pPr>
            <w:r>
              <w:rPr>
                <w:rFonts w:ascii="Arial" w:cs="Arial" w:eastAsia="Arial" w:hAnsi="Arial"/>
                <w:sz w:val="14"/>
                <w:szCs w:val="14"/>
                <w:color w:val="auto"/>
              </w:rPr>
              <w:t>(360)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the fair value of warrants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15"/>
              <w:spacing w:after="0"/>
              <w:rPr>
                <w:sz w:val="20"/>
                <w:szCs w:val="20"/>
                <w:color w:val="auto"/>
              </w:rPr>
            </w:pPr>
            <w:r>
              <w:rPr>
                <w:rFonts w:ascii="Arial" w:cs="Arial" w:eastAsia="Arial" w:hAnsi="Arial"/>
                <w:sz w:val="14"/>
                <w:szCs w:val="14"/>
                <w:color w:val="auto"/>
              </w:rPr>
              <w:t>1,496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0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other income (expense)</w:t>
            </w:r>
          </w:p>
        </w:tc>
        <w:tc>
          <w:tcPr>
            <w:tcW w:w="104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457</w:t>
            </w:r>
          </w:p>
        </w:tc>
        <w:tc>
          <w:tcPr>
            <w:tcW w:w="100" w:type="dxa"/>
            <w:vAlign w:val="bottom"/>
            <w:tcBorders>
              <w:top w:val="single" w:sz="8" w:color="CCEEFF"/>
              <w:bottom w:val="single" w:sz="8" w:color="CCEEFF"/>
            </w:tcBorders>
          </w:tcPr>
          <w:p>
            <w:pPr>
              <w:spacing w:after="0"/>
              <w:rPr>
                <w:sz w:val="13"/>
                <w:szCs w:val="13"/>
                <w:color w:val="auto"/>
              </w:rPr>
            </w:pPr>
          </w:p>
        </w:tc>
        <w:tc>
          <w:tcPr>
            <w:tcW w:w="2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1,144</w:t>
            </w:r>
          </w:p>
        </w:tc>
        <w:tc>
          <w:tcPr>
            <w:tcW w:w="30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ind w:left="1020"/>
              <w:spacing w:after="0" w:line="153" w:lineRule="exact"/>
              <w:rPr>
                <w:sz w:val="20"/>
                <w:szCs w:val="20"/>
                <w:color w:val="auto"/>
              </w:rPr>
            </w:pPr>
            <w:r>
              <w:rPr>
                <w:rFonts w:ascii="Arial" w:cs="Arial" w:eastAsia="Arial" w:hAnsi="Arial"/>
                <w:sz w:val="14"/>
                <w:szCs w:val="14"/>
                <w:color w:val="auto"/>
                <w:w w:val="79"/>
              </w:rPr>
              <w:t>(8</w:t>
            </w:r>
          </w:p>
        </w:tc>
        <w:tc>
          <w:tcPr>
            <w:tcW w:w="220" w:type="dxa"/>
            <w:vAlign w:val="bottom"/>
            <w:tcBorders>
              <w:top w:val="single" w:sz="8" w:color="CCEEFF"/>
              <w:bottom w:val="single" w:sz="8" w:color="CCEEFF"/>
            </w:tcBorders>
          </w:tcPr>
          <w:p>
            <w:pPr>
              <w:jc w:val="right"/>
              <w:ind w:right="88"/>
              <w:spacing w:after="0" w:line="153" w:lineRule="exact"/>
              <w:rPr>
                <w:sz w:val="20"/>
                <w:szCs w:val="20"/>
                <w:color w:val="auto"/>
              </w:rPr>
            </w:pPr>
            <w:r>
              <w:rPr>
                <w:rFonts w:ascii="Arial" w:cs="Arial" w:eastAsia="Arial" w:hAnsi="Arial"/>
                <w:sz w:val="14"/>
                <w:szCs w:val="14"/>
                <w:color w:val="auto"/>
                <w:w w:val="84"/>
              </w:rPr>
              <w:t>)</w:t>
            </w:r>
          </w:p>
        </w:tc>
        <w:tc>
          <w:tcPr>
            <w:tcW w:w="3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1,593</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(5,593</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440</w:t>
            </w: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w w:val="79"/>
              </w:rPr>
              <w:t>(8</w:t>
            </w:r>
          </w:p>
        </w:tc>
        <w:tc>
          <w:tcPr>
            <w:tcW w:w="2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00" w:type="dxa"/>
            <w:vAlign w:val="bottom"/>
            <w:tcBorders>
              <w:bottom w:val="single" w:sz="8" w:color="CCEEFF"/>
            </w:tcBorders>
          </w:tcPr>
          <w:p>
            <w:pPr>
              <w:ind w:left="120"/>
              <w:spacing w:after="0" w:line="153" w:lineRule="exact"/>
              <w:rPr>
                <w:sz w:val="20"/>
                <w:szCs w:val="20"/>
                <w:color w:val="auto"/>
              </w:rPr>
            </w:pPr>
            <w:r>
              <w:rPr>
                <w:rFonts w:ascii="Arial" w:cs="Arial" w:eastAsia="Arial" w:hAnsi="Arial"/>
                <w:sz w:val="14"/>
                <w:szCs w:val="14"/>
                <w:color w:val="auto"/>
              </w:rPr>
              <w:t>Income tax provision</w:t>
            </w:r>
          </w:p>
        </w:tc>
        <w:tc>
          <w:tcPr>
            <w:tcW w:w="10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110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income</w:t>
            </w: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(5,593</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440</w:t>
            </w: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b w:val="1"/>
                <w:bCs w:val="1"/>
                <w:color w:val="auto"/>
                <w:w w:val="79"/>
              </w:rPr>
              <w:t>(8</w:t>
            </w:r>
          </w:p>
        </w:tc>
        <w:tc>
          <w:tcPr>
            <w:tcW w:w="2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(5,161</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35"/>
              <w:spacing w:after="0"/>
              <w:rPr>
                <w:sz w:val="20"/>
                <w:szCs w:val="20"/>
                <w:color w:val="auto"/>
              </w:rPr>
            </w:pPr>
            <w:r>
              <w:rPr>
                <w:rFonts w:ascii="Arial" w:cs="Arial" w:eastAsia="Arial" w:hAnsi="Arial"/>
                <w:sz w:val="14"/>
                <w:szCs w:val="14"/>
                <w:b w:val="1"/>
                <w:bCs w:val="1"/>
                <w:color w:val="auto"/>
                <w:w w:val="98"/>
              </w:rPr>
              <w:t>Historical 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Historical Weighted-</w:t>
            </w:r>
          </w:p>
        </w:tc>
        <w:tc>
          <w:tcPr>
            <w:tcW w:w="120" w:type="dxa"/>
            <w:vAlign w:val="bottom"/>
          </w:tcPr>
          <w:p>
            <w:pPr>
              <w:spacing w:after="0"/>
              <w:rPr>
                <w:sz w:val="14"/>
                <w:szCs w:val="14"/>
                <w:color w:val="auto"/>
              </w:rPr>
            </w:pPr>
          </w:p>
        </w:tc>
        <w:tc>
          <w:tcPr>
            <w:tcW w:w="144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Average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Average 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common shares outstanding - basic</w:t>
            </w:r>
          </w:p>
        </w:tc>
        <w:tc>
          <w:tcPr>
            <w:tcW w:w="10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35,216,000</w:t>
            </w: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14,224,714</w:t>
            </w:r>
          </w:p>
        </w:tc>
        <w:tc>
          <w:tcPr>
            <w:tcW w:w="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43,474,777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Weighted common shares outstanding - diluted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35,216,000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4"/>
                <w:szCs w:val="14"/>
                <w:color w:val="auto"/>
              </w:rPr>
              <w:t>14,224,714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43,474,777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income per share</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9"/>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275"/>
              <w:spacing w:after="0"/>
              <w:rPr>
                <w:sz w:val="20"/>
                <w:szCs w:val="20"/>
                <w:color w:val="auto"/>
              </w:rPr>
            </w:pPr>
            <w:r>
              <w:rPr>
                <w:rFonts w:ascii="Arial" w:cs="Arial" w:eastAsia="Arial" w:hAnsi="Arial"/>
                <w:sz w:val="14"/>
                <w:szCs w:val="14"/>
                <w:color w:val="auto"/>
              </w:rPr>
              <w:t>(0.16)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Diluted net (loss) income per share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ind w:right="119"/>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1480" w:type="dxa"/>
            <w:vAlign w:val="bottom"/>
            <w:gridSpan w:val="3"/>
          </w:tcPr>
          <w:p>
            <w:pPr>
              <w:jc w:val="right"/>
              <w:ind w:right="275"/>
              <w:spacing w:after="0"/>
              <w:rPr>
                <w:sz w:val="20"/>
                <w:szCs w:val="20"/>
                <w:color w:val="auto"/>
              </w:rPr>
            </w:pPr>
            <w:r>
              <w:rPr>
                <w:rFonts w:ascii="Arial" w:cs="Arial" w:eastAsia="Arial" w:hAnsi="Arial"/>
                <w:sz w:val="14"/>
                <w:szCs w:val="14"/>
                <w:color w:val="auto"/>
              </w:rPr>
              <w:t>(0.16)</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gridSpan w:val="3"/>
          </w:tcPr>
          <w:p>
            <w:pPr>
              <w:jc w:val="right"/>
              <w:ind w:right="340"/>
              <w:spacing w:after="0"/>
              <w:rPr>
                <w:sz w:val="20"/>
                <w:szCs w:val="20"/>
                <w:color w:val="auto"/>
              </w:rPr>
            </w:pPr>
            <w:r>
              <w:rPr>
                <w:rFonts w:ascii="Arial" w:cs="Arial" w:eastAsia="Arial" w:hAnsi="Arial"/>
                <w:sz w:val="14"/>
                <w:szCs w:val="14"/>
                <w:color w:val="auto"/>
              </w:rPr>
              <w:t>0.03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5"/>
                <w:szCs w:val="15"/>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SAB Biotherapeutics, Inc. and Subsidiaries and Big Cypress Acquisition Corp.</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Pro Forma Condensed Combined Statement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year-ended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3"/>
              </w:rPr>
              <w:t>For the 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center"/>
              <w:ind w:right="348"/>
              <w:spacing w:after="0" w:line="157" w:lineRule="exact"/>
              <w:rPr>
                <w:sz w:val="20"/>
                <w:szCs w:val="20"/>
                <w:color w:val="auto"/>
              </w:rPr>
            </w:pPr>
            <w:r>
              <w:rPr>
                <w:rFonts w:ascii="Arial" w:cs="Arial" w:eastAsia="Arial" w:hAnsi="Arial"/>
                <w:sz w:val="14"/>
                <w:szCs w:val="14"/>
                <w:b w:val="1"/>
                <w:bCs w:val="1"/>
                <w:color w:val="auto"/>
                <w:w w:val="94"/>
              </w:rPr>
              <w:t>SAB</w:t>
            </w: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1"/>
              </w:rPr>
              <w:t>Biotherapeutics,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4"/>
              </w:rPr>
              <w:t>Inc. and</w:t>
            </w:r>
          </w:p>
        </w:tc>
        <w:tc>
          <w:tcPr>
            <w:tcW w:w="10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0"/>
              </w:rPr>
              <w:t>Big Cypress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1"/>
              </w:rPr>
              <w:t>Subsidiaries</w:t>
            </w:r>
          </w:p>
        </w:tc>
        <w:tc>
          <w:tcPr>
            <w:tcW w:w="1340" w:type="dxa"/>
            <w:vAlign w:val="bottom"/>
            <w:gridSpan w:val="5"/>
          </w:tcPr>
          <w:p>
            <w:pPr>
              <w:jc w:val="center"/>
              <w:ind w:right="59"/>
              <w:spacing w:after="0"/>
              <w:rPr>
                <w:sz w:val="20"/>
                <w:szCs w:val="20"/>
                <w:color w:val="auto"/>
              </w:rPr>
            </w:pPr>
            <w:r>
              <w:rPr>
                <w:rFonts w:ascii="Arial" w:cs="Arial" w:eastAsia="Arial" w:hAnsi="Arial"/>
                <w:sz w:val="14"/>
                <w:szCs w:val="14"/>
                <w:b w:val="1"/>
                <w:bCs w:val="1"/>
                <w:color w:val="auto"/>
                <w:w w:val="92"/>
              </w:rPr>
              <w:t>Acquisition Corp.</w:t>
            </w:r>
          </w:p>
        </w:tc>
        <w:tc>
          <w:tcPr>
            <w:tcW w:w="240" w:type="dxa"/>
            <w:vAlign w:val="bottom"/>
          </w:tcPr>
          <w:p>
            <w:pPr>
              <w:spacing w:after="0"/>
              <w:rPr>
                <w:sz w:val="14"/>
                <w:szCs w:val="14"/>
                <w:color w:val="auto"/>
              </w:rPr>
            </w:pPr>
          </w:p>
        </w:tc>
        <w:tc>
          <w:tcPr>
            <w:tcW w:w="11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5"/>
              </w:rPr>
              <w:t>(Historical)</w:t>
            </w:r>
          </w:p>
        </w:tc>
        <w:tc>
          <w:tcPr>
            <w:tcW w:w="10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5"/>
              </w:rPr>
              <w:t>(Historical)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Revenue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68"/>
              <w:spacing w:after="0"/>
              <w:rPr>
                <w:sz w:val="20"/>
                <w:szCs w:val="20"/>
                <w:color w:val="auto"/>
              </w:rPr>
            </w:pPr>
            <w:r>
              <w:rPr>
                <w:rFonts w:ascii="Arial" w:cs="Arial" w:eastAsia="Arial" w:hAnsi="Arial"/>
                <w:sz w:val="14"/>
                <w:szCs w:val="14"/>
                <w:color w:val="auto"/>
              </w:rPr>
              <w:t>55,238</w:t>
            </w:r>
          </w:p>
        </w:tc>
        <w:tc>
          <w:tcPr>
            <w:tcW w:w="800" w:type="dxa"/>
            <w:vAlign w:val="bottom"/>
          </w:tcPr>
          <w:p>
            <w:pPr>
              <w:jc w:val="center"/>
              <w:ind w:right="6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gridSpan w:val="3"/>
          </w:tcPr>
          <w:p>
            <w:pPr>
              <w:jc w:val="right"/>
              <w:ind w:right="59"/>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7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55,238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Formation and operating costs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3"/>
          </w:tcPr>
          <w:p>
            <w:pPr>
              <w:jc w:val="right"/>
              <w:ind w:right="59"/>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27,909</w:t>
            </w: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27,909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268"/>
              <w:spacing w:after="0"/>
              <w:rPr>
                <w:sz w:val="20"/>
                <w:szCs w:val="20"/>
                <w:color w:val="auto"/>
              </w:rPr>
            </w:pPr>
            <w:r>
              <w:rPr>
                <w:rFonts w:ascii="Arial" w:cs="Arial" w:eastAsia="Arial" w:hAnsi="Arial"/>
                <w:sz w:val="14"/>
                <w:szCs w:val="14"/>
                <w:color w:val="auto"/>
              </w:rPr>
              <w:t>6,772</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gridSpan w:val="3"/>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6,772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costs and expenses</w:t>
            </w: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34,681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color w:val="auto"/>
              </w:rPr>
              <w:t>Gain on sale of assets</w:t>
            </w:r>
          </w:p>
        </w:tc>
        <w:tc>
          <w:tcPr>
            <w:tcW w:w="1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20,557</w:t>
            </w: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40" w:type="dxa"/>
            <w:vAlign w:val="bottom"/>
          </w:tcPr>
          <w:p>
            <w:pPr>
              <w:spacing w:after="0" w:line="153" w:lineRule="exact"/>
              <w:rPr>
                <w:sz w:val="20"/>
                <w:szCs w:val="20"/>
                <w:color w:val="auto"/>
              </w:rPr>
            </w:pPr>
            <w:r>
              <w:rPr>
                <w:rFonts w:ascii="Arial" w:cs="Arial" w:eastAsia="Arial" w:hAnsi="Arial"/>
                <w:sz w:val="14"/>
                <w:szCs w:val="14"/>
                <w:b w:val="1"/>
                <w:bCs w:val="1"/>
                <w:color w:val="auto"/>
              </w:rPr>
              <w:t>Other income (expense):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Interest income (expense)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268"/>
              <w:spacing w:after="0"/>
              <w:rPr>
                <w:sz w:val="20"/>
                <w:szCs w:val="20"/>
                <w:color w:val="auto"/>
              </w:rPr>
            </w:pPr>
            <w:r>
              <w:rPr>
                <w:rFonts w:ascii="Arial" w:cs="Arial" w:eastAsia="Arial" w:hAnsi="Arial"/>
                <w:sz w:val="14"/>
                <w:szCs w:val="14"/>
                <w:color w:val="auto"/>
              </w:rPr>
              <w:t>26</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gridSpan w:val="3"/>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208"/>
              <w:spacing w:after="0"/>
              <w:rPr>
                <w:sz w:val="20"/>
                <w:szCs w:val="20"/>
                <w:color w:val="auto"/>
              </w:rPr>
            </w:pPr>
            <w:r>
              <w:rPr>
                <w:rFonts w:ascii="Arial" w:cs="Arial" w:eastAsia="Arial" w:hAnsi="Arial"/>
                <w:sz w:val="14"/>
                <w:szCs w:val="14"/>
                <w:color w:val="auto"/>
              </w:rPr>
              <w:t>(469)</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other income (expense)</w:t>
            </w:r>
          </w:p>
        </w:tc>
        <w:tc>
          <w:tcPr>
            <w:tcW w:w="124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(439</w:t>
            </w:r>
          </w:p>
        </w:tc>
        <w:tc>
          <w:tcPr>
            <w:tcW w:w="340" w:type="dxa"/>
            <w:vAlign w:val="bottom"/>
            <w:tcBorders>
              <w:top w:val="single" w:sz="8" w:color="CCEEFF"/>
              <w:bottom w:val="single" w:sz="8" w:color="CCEEFF"/>
            </w:tcBorders>
          </w:tcPr>
          <w:p>
            <w:pPr>
              <w:jc w:val="right"/>
              <w:ind w:right="208"/>
              <w:spacing w:after="0" w:line="153" w:lineRule="exact"/>
              <w:rPr>
                <w:sz w:val="20"/>
                <w:szCs w:val="20"/>
                <w:color w:val="auto"/>
              </w:rPr>
            </w:pPr>
            <w:r>
              <w:rPr>
                <w:rFonts w:ascii="Arial" w:cs="Arial" w:eastAsia="Arial" w:hAnsi="Arial"/>
                <w:sz w:val="14"/>
                <w:szCs w:val="14"/>
                <w:color w:val="auto"/>
                <w:w w:val="84"/>
              </w:rPr>
              <w:t>)</w:t>
            </w:r>
          </w:p>
        </w:tc>
        <w:tc>
          <w:tcPr>
            <w:tcW w:w="8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13"/>
                <w:szCs w:val="13"/>
                <w:color w:val="auto"/>
              </w:rPr>
            </w:pPr>
          </w:p>
        </w:tc>
        <w:tc>
          <w:tcPr>
            <w:tcW w:w="240" w:type="dxa"/>
            <w:vAlign w:val="bottom"/>
            <w:tcBorders>
              <w:top w:val="single" w:sz="8" w:color="CCEEFF"/>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(439</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20,118</w:t>
            </w: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bottom w:val="single" w:sz="8" w:color="CCEEFF"/>
            </w:tcBorders>
          </w:tcPr>
          <w:p>
            <w:pPr>
              <w:ind w:left="120"/>
              <w:spacing w:after="0" w:line="153" w:lineRule="exact"/>
              <w:rPr>
                <w:sz w:val="20"/>
                <w:szCs w:val="20"/>
                <w:color w:val="auto"/>
              </w:rPr>
            </w:pPr>
            <w:r>
              <w:rPr>
                <w:rFonts w:ascii="Arial" w:cs="Arial" w:eastAsia="Arial" w:hAnsi="Arial"/>
                <w:sz w:val="14"/>
                <w:szCs w:val="14"/>
                <w:color w:val="auto"/>
              </w:rPr>
              <w:t>Income tax provision</w:t>
            </w:r>
          </w:p>
        </w:tc>
        <w:tc>
          <w:tcPr>
            <w:tcW w:w="1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20,118</w:t>
            </w:r>
          </w:p>
        </w:tc>
        <w:tc>
          <w:tcPr>
            <w:tcW w:w="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right="6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20,109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Historical Weighted-</w:t>
            </w:r>
          </w:p>
        </w:tc>
        <w:tc>
          <w:tcPr>
            <w:tcW w:w="6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Historical 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5"/>
          </w:tcPr>
          <w:p>
            <w:pPr>
              <w:jc w:val="right"/>
              <w:ind w:right="119"/>
              <w:spacing w:after="0"/>
              <w:rPr>
                <w:sz w:val="20"/>
                <w:szCs w:val="20"/>
                <w:color w:val="auto"/>
              </w:rPr>
            </w:pPr>
            <w:r>
              <w:rPr>
                <w:rFonts w:ascii="Arial" w:cs="Arial" w:eastAsia="Arial" w:hAnsi="Arial"/>
                <w:sz w:val="14"/>
                <w:szCs w:val="14"/>
                <w:b w:val="1"/>
                <w:bCs w:val="1"/>
                <w:color w:val="auto"/>
                <w:w w:val="97"/>
              </w:rPr>
              <w:t>Pro Forma Weighted-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Average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Average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common shares outstanding - basic</w:t>
            </w:r>
          </w:p>
        </w:tc>
        <w:tc>
          <w:tcPr>
            <w:tcW w:w="1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35,216,000</w:t>
            </w: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43.474,777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Weighted common shares outstanding - diluted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58,051,614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2,500,000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49,433,377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Basic net income per share</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Diluted net income per share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0.35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Adjustments to Unaudited Pro Forma Condensed Combined Statements of Operations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pro forma adjustments included in the unaudited pro forma condensed combined statement of operations for the nine months ended September 30, 2021, and the year ended December 31, 2020, are as follows:</w:t>
      </w:r>
    </w:p>
    <w:p>
      <w:pPr>
        <w:spacing w:after="0" w:line="131" w:lineRule="exact"/>
        <w:rPr>
          <w:sz w:val="20"/>
          <w:szCs w:val="20"/>
          <w:color w:val="auto"/>
        </w:rPr>
      </w:pPr>
    </w:p>
    <w:p>
      <w:pPr>
        <w:ind w:left="5580" w:right="5320" w:hanging="5317"/>
        <w:spacing w:after="0" w:line="456" w:lineRule="auto"/>
        <w:tabs>
          <w:tab w:leader="none" w:pos="786"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the elimination of interest income earned on investments held in Trust Account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16026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8" w:name="page39"/>
    <w:bookmarkEnd w:id="38"/>
    <w:p>
      <w:pPr>
        <w:ind w:left="2580"/>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 and Accounting Policies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Merger will be accounted for as a reverse recapitalization in accordance with GAAP because SAB Biotherapeutics has been determined to be the accounting acquirer under ASC 805. Under this method of accounting, BCYP will be treated as the “acquired” company for financial reporting purposes. Accordingly, the consolidated assets, liabilities and results of operations of SAB Biotherapeutics will become the historical financial statements of New SAB Biotherapeutics, and BCYP’s assets, liabilities and results of operations will be consolidated with SAB Biotherapeutics beginning on the acquisition date. For accounting purposes, the financial statements of New SAB Biotherapeutics will represent a continuation of the financial statements of SAB Biotherapeutics with the Transaction being treated as the equivalent of SAB Biotherapeutics issuing stock for the net assets of BCYP, accompanied by a recapitalization. The net assets of BCYP will be stated at historical costs, with no goodwill or other intangible assets recorded. Operations prior to the Merger will be presented as those of SAB Biotherapeutics in future reports of New SAB Biotherapeutics.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unaudited pro forma condensed combined financial information reflects all BCYP’s public shareholders that exercised redemption rights with respect to their public shares. A total of 8,030,289 shares were redeemed for an aggregate redemption value of $81,111,920. The resulting redemptions will provide SAB Biotherapeutics with cash at closing of the Business Combination of greater than the $5,000,001 Net Tangible Asset value Pursuant to the Business Combination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Adjustments to Unaudited Pro Forma Condensed Combined Financial Information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unaudited pro forma condensed combined financial information has been prepared in accordance with Article 11 of Regulation S-X. The adjustments in the unaudited pro forma condensed combined financial information have been identified and presented to provide relevant information necessary for an illustrative understanding of New SAB Biotherapeutics upon consummation of the Merger in accordance with GAAP. Assumptions and estimates underlying the unaudited pro forma adjustments set forth in the unaudited pro forma condensed combined financial information are described in the accompanying notes.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Merger Agreement includes an earnout provision whereby the shareholders of SAB Biotherapeutics shall be entitled to receive additional consideration (“Earnout Shares”) if the Company meets certain Volume Weighted Average Price (“VWAP) thresholds, or a change in control with a per share price exceeding the VWAP thresholds within a five-year period immediately following the Closing, which will be held in escrow until the Earnout contingency is resolved.</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unaudited pro forma condensed combined financial information has been presented for illustrative purposes only and is not necessarily indicative of the operating results and financial position that would have been achieved had the Merger occurred on the dates indicated, and does not reflect adjustments for any anticipated synergies, operating efficiencies, tax savings or cost savings. Any cash proceeds remaining after the consummation of the Merger and the other related events contemplated by the Business Combination Agreement are expected to be used for general corporate purposes. The unaudited pro forma condensed combined financial information does not purport to project the future operating results or financial position of New SAB Biotherapeutics following the completion of the Merger. The unaudited pro forma adjustments represent management’s estimates based on information available as of the date of this unaudited pro forma condensed combined financial information and are subject to change as additional information becomes available and analyses are performed. BCYP and SAB Biotherapeutics have not had any historical relationship prior to the transactions. Accordingly, no pro forma adjustments were required to eliminate activities between the companies.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The following summarizes the pro forma shares of New SAB Biotherapeutics Common Stock issued and outstanding immediately after the Merger: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(Number of shares in thousands)</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56"/>
        </w:trPr>
        <w:tc>
          <w:tcPr>
            <w:tcW w:w="70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Shares (1)</w:t>
            </w: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4"/>
                <w:szCs w:val="24"/>
                <w:color w:val="auto"/>
              </w:rPr>
            </w:pPr>
          </w:p>
        </w:tc>
      </w:tr>
      <w:tr>
        <w:trPr>
          <w:trHeight w:val="202"/>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SAB Biotherapeutics, Inc and Subsidiaries Shareholders</w:t>
            </w:r>
          </w:p>
        </w:tc>
        <w:tc>
          <w:tcPr>
            <w:tcW w:w="1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36,465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83.9%</w:t>
            </w:r>
          </w:p>
        </w:tc>
      </w:tr>
      <w:tr>
        <w:trPr>
          <w:trHeight w:val="155"/>
        </w:trPr>
        <w:tc>
          <w:tcPr>
            <w:tcW w:w="7000" w:type="dxa"/>
            <w:vAlign w:val="bottom"/>
            <w:tcBorders>
              <w:top w:val="single" w:sz="8" w:color="CCEEFF"/>
              <w:bottom w:val="single" w:sz="8" w:color="CCEEFF"/>
            </w:tcBorders>
          </w:tcPr>
          <w:p>
            <w:pPr>
              <w:ind w:left="140"/>
              <w:spacing w:after="0" w:line="153" w:lineRule="exact"/>
              <w:rPr>
                <w:sz w:val="20"/>
                <w:szCs w:val="20"/>
                <w:color w:val="auto"/>
              </w:rPr>
            </w:pPr>
            <w:r>
              <w:rPr>
                <w:rFonts w:ascii="Arial" w:cs="Arial" w:eastAsia="Arial" w:hAnsi="Arial"/>
                <w:sz w:val="14"/>
                <w:szCs w:val="14"/>
                <w:color w:val="auto"/>
              </w:rPr>
              <w:t>Total SAB Biotherapeutics, Inc and Subsidiaries Merger Shares</w:t>
            </w:r>
          </w:p>
        </w:tc>
        <w:tc>
          <w:tcPr>
            <w:tcW w:w="1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36,465</w:t>
            </w:r>
          </w:p>
        </w:tc>
        <w:tc>
          <w:tcPr>
            <w:tcW w:w="320" w:type="dxa"/>
            <w:vAlign w:val="bottom"/>
            <w:tcBorders>
              <w:top w:val="single" w:sz="8" w:color="CCEEFF"/>
              <w:bottom w:val="single" w:sz="8" w:color="CCEEFF"/>
            </w:tcBorders>
          </w:tcPr>
          <w:p>
            <w:pPr>
              <w:spacing w:after="0"/>
              <w:rPr>
                <w:sz w:val="13"/>
                <w:szCs w:val="13"/>
                <w:color w:val="auto"/>
              </w:rPr>
            </w:pPr>
          </w:p>
        </w:tc>
        <w:tc>
          <w:tcPr>
            <w:tcW w:w="2040" w:type="dxa"/>
            <w:vAlign w:val="bottom"/>
            <w:tcBorders>
              <w:top w:val="single" w:sz="8" w:color="CCEEFF"/>
              <w:bottom w:val="single" w:sz="8" w:color="CCEEFF"/>
            </w:tcBorders>
            <w:gridSpan w:val="2"/>
          </w:tcPr>
          <w:p>
            <w:pPr>
              <w:jc w:val="right"/>
              <w:spacing w:after="0" w:line="153" w:lineRule="exact"/>
              <w:rPr>
                <w:sz w:val="20"/>
                <w:szCs w:val="20"/>
                <w:color w:val="auto"/>
              </w:rPr>
            </w:pPr>
            <w:r>
              <w:rPr>
                <w:rFonts w:ascii="Arial" w:cs="Arial" w:eastAsia="Arial" w:hAnsi="Arial"/>
                <w:sz w:val="14"/>
                <w:szCs w:val="14"/>
                <w:color w:val="auto"/>
              </w:rPr>
              <w:t>83.9%</w:t>
            </w:r>
          </w:p>
        </w:tc>
      </w:tr>
      <w:tr>
        <w:trPr>
          <w:trHeight w:val="192"/>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SAB Biotherapeutics, Inc and Subsidiaries Shares</w:t>
            </w:r>
          </w:p>
        </w:tc>
        <w:tc>
          <w:tcPr>
            <w:tcW w:w="14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36,465</w:t>
            </w:r>
          </w:p>
        </w:tc>
        <w:tc>
          <w:tcPr>
            <w:tcW w:w="3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83.9%</w:t>
            </w:r>
          </w:p>
        </w:tc>
      </w:tr>
      <w:tr>
        <w:trPr>
          <w:trHeight w:val="153"/>
        </w:trPr>
        <w:tc>
          <w:tcPr>
            <w:tcW w:w="7000" w:type="dxa"/>
            <w:vAlign w:val="bottom"/>
          </w:tcPr>
          <w:p>
            <w:pPr>
              <w:ind w:left="140"/>
              <w:spacing w:after="0" w:line="153" w:lineRule="exact"/>
              <w:rPr>
                <w:sz w:val="20"/>
                <w:szCs w:val="20"/>
                <w:color w:val="auto"/>
              </w:rPr>
            </w:pPr>
            <w:r>
              <w:rPr>
                <w:rFonts w:ascii="Arial" w:cs="Arial" w:eastAsia="Arial" w:hAnsi="Arial"/>
                <w:sz w:val="14"/>
                <w:szCs w:val="14"/>
                <w:color w:val="auto"/>
              </w:rPr>
              <w:t>Big Cypress Acquisition Corp Non-Founder Shares</w:t>
            </w:r>
          </w:p>
        </w:tc>
        <w:tc>
          <w:tcPr>
            <w:tcW w:w="1400" w:type="dxa"/>
            <w:vAlign w:val="bottom"/>
          </w:tcPr>
          <w:p>
            <w:pPr>
              <w:spacing w:after="0"/>
              <w:rPr>
                <w:sz w:val="13"/>
                <w:szCs w:val="13"/>
                <w:color w:val="auto"/>
              </w:rPr>
            </w:pPr>
          </w:p>
        </w:tc>
        <w:tc>
          <w:tcPr>
            <w:tcW w:w="520" w:type="dxa"/>
            <w:vAlign w:val="bottom"/>
          </w:tcPr>
          <w:p>
            <w:pPr>
              <w:jc w:val="right"/>
              <w:spacing w:after="0" w:line="153" w:lineRule="exact"/>
              <w:rPr>
                <w:sz w:val="20"/>
                <w:szCs w:val="20"/>
                <w:color w:val="auto"/>
              </w:rPr>
            </w:pPr>
            <w:r>
              <w:rPr>
                <w:rFonts w:ascii="Arial" w:cs="Arial" w:eastAsia="Arial" w:hAnsi="Arial"/>
                <w:sz w:val="14"/>
                <w:szCs w:val="14"/>
                <w:color w:val="auto"/>
              </w:rPr>
              <w:t>3,470</w:t>
            </w:r>
          </w:p>
        </w:tc>
        <w:tc>
          <w:tcPr>
            <w:tcW w:w="320" w:type="dxa"/>
            <w:vAlign w:val="bottom"/>
          </w:tcPr>
          <w:p>
            <w:pPr>
              <w:spacing w:after="0"/>
              <w:rPr>
                <w:sz w:val="13"/>
                <w:szCs w:val="13"/>
                <w:color w:val="auto"/>
              </w:rPr>
            </w:pPr>
          </w:p>
        </w:tc>
        <w:tc>
          <w:tcPr>
            <w:tcW w:w="20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8.0%</w:t>
            </w:r>
          </w:p>
        </w:tc>
      </w:tr>
      <w:tr>
        <w:trPr>
          <w:trHeight w:val="202"/>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Big Cypress Acquisition Corp Founder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55"/>
        </w:trPr>
        <w:tc>
          <w:tcPr>
            <w:tcW w:w="700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Big Cypress Acquisition Corp Shares</w:t>
            </w:r>
          </w:p>
        </w:tc>
        <w:tc>
          <w:tcPr>
            <w:tcW w:w="14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6,672</w:t>
            </w:r>
          </w:p>
        </w:tc>
        <w:tc>
          <w:tcPr>
            <w:tcW w:w="320" w:type="dxa"/>
            <w:vAlign w:val="bottom"/>
            <w:tcBorders>
              <w:top w:val="single" w:sz="8" w:color="CCEEFF"/>
              <w:bottom w:val="single" w:sz="8" w:color="CCEEFF"/>
            </w:tcBorders>
          </w:tcPr>
          <w:p>
            <w:pPr>
              <w:spacing w:after="0"/>
              <w:rPr>
                <w:sz w:val="13"/>
                <w:szCs w:val="13"/>
                <w:color w:val="auto"/>
              </w:rPr>
            </w:pPr>
          </w:p>
        </w:tc>
        <w:tc>
          <w:tcPr>
            <w:tcW w:w="2040" w:type="dxa"/>
            <w:vAlign w:val="bottom"/>
            <w:tcBorders>
              <w:top w:val="single" w:sz="8" w:color="CCEEFF"/>
              <w:bottom w:val="single" w:sz="8" w:color="CCEEFF"/>
            </w:tcBorders>
            <w:gridSpan w:val="2"/>
          </w:tcPr>
          <w:p>
            <w:pPr>
              <w:jc w:val="right"/>
              <w:spacing w:after="0" w:line="153" w:lineRule="exact"/>
              <w:rPr>
                <w:sz w:val="20"/>
                <w:szCs w:val="20"/>
                <w:color w:val="auto"/>
              </w:rPr>
            </w:pPr>
            <w:r>
              <w:rPr>
                <w:rFonts w:ascii="Arial" w:cs="Arial" w:eastAsia="Arial" w:hAnsi="Arial"/>
                <w:sz w:val="14"/>
                <w:szCs w:val="14"/>
                <w:color w:val="auto"/>
              </w:rPr>
              <w:t>15.6%</w:t>
            </w:r>
          </w:p>
        </w:tc>
      </w:tr>
      <w:tr>
        <w:trPr>
          <w:trHeight w:val="192"/>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4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3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55"/>
        </w:trPr>
        <w:tc>
          <w:tcPr>
            <w:tcW w:w="700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color w:val="auto"/>
              </w:rPr>
              <w:t>Total Other</w:t>
            </w:r>
          </w:p>
        </w:tc>
        <w:tc>
          <w:tcPr>
            <w:tcW w:w="1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248</w:t>
            </w:r>
          </w:p>
        </w:tc>
        <w:tc>
          <w:tcPr>
            <w:tcW w:w="32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gridSpan w:val="2"/>
          </w:tcPr>
          <w:p>
            <w:pPr>
              <w:jc w:val="right"/>
              <w:spacing w:after="0" w:line="153" w:lineRule="exact"/>
              <w:rPr>
                <w:sz w:val="20"/>
                <w:szCs w:val="20"/>
                <w:color w:val="auto"/>
              </w:rPr>
            </w:pPr>
            <w:r>
              <w:rPr>
                <w:rFonts w:ascii="Arial" w:cs="Arial" w:eastAsia="Arial" w:hAnsi="Arial"/>
                <w:sz w:val="14"/>
                <w:szCs w:val="14"/>
                <w:color w:val="auto"/>
              </w:rPr>
              <w:t>0.6%</w:t>
            </w:r>
          </w:p>
        </w:tc>
      </w:tr>
      <w:tr>
        <w:trPr>
          <w:trHeight w:val="182"/>
        </w:trPr>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Common Stock at September 30, 2021</w:t>
            </w:r>
          </w:p>
        </w:tc>
        <w:tc>
          <w:tcPr>
            <w:tcW w:w="14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43,475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firstLine="6"/>
        <w:spacing w:after="0" w:line="286"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table does not include 5.750 million of Public Warrants, 0.2 million of the Private Placement Warrants, 0.6 million of Sponsor Shares subject to vesting and forfeiture, and options to acquire shares of Common Stock under equity plans following the Merger.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the actual facts are different than these assumptions, then the amounts and shares outstanding in the unaudited pro forma condensed combined financial information will be different and those changes could be material.</w:t>
      </w:r>
    </w:p>
    <w:p>
      <w:pPr>
        <w:spacing w:after="0" w:line="131"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of BCYP following the completion of the Merger. The unaudited pro forma adjustments represent BCYP management’s estimates based on information available as of the dates of these unaudited pro forma condensed combined financial statements and are subject to change as additional information becomes available and analyses are performed.</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pro forma basic and diluted income per share amounts presented in the unaudited pro forma condensed combined statements of operations are based upon the number of the Combined Company’s shares outstanding, assuming the Business Combination occurred on January 1, 2020.</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Income (loss) per share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Represents the income per share calculated using the historical weighted average shares outstanding, and the issuance of additional shares in connection with the Business Combination, assuming the shares were outstanding since January 1, 2020. As the Business Combination and related equity transactions are being reflected as if they had occurred at the beginning of the periods presented, the calculation of weighted average shares outstanding for basic and diluted net income per share assumes that the shares issuable relating to the Business Combination have been outstanding for the entirety of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and per share amounts)</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For the 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8"/>
              <w:spacing w:after="0" w:line="157" w:lineRule="exact"/>
              <w:rPr>
                <w:sz w:val="20"/>
                <w:szCs w:val="20"/>
                <w:color w:val="auto"/>
              </w:rPr>
            </w:pPr>
            <w:r>
              <w:rPr>
                <w:rFonts w:ascii="Arial" w:cs="Arial" w:eastAsia="Arial" w:hAnsi="Arial"/>
                <w:sz w:val="14"/>
                <w:szCs w:val="14"/>
                <w:b w:val="1"/>
                <w:bCs w:val="1"/>
                <w:color w:val="auto"/>
                <w:w w:val="95"/>
              </w:rPr>
              <w:t>Pro-Forma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Pro forma net income</w:t>
            </w:r>
          </w:p>
        </w:tc>
        <w:tc>
          <w:tcPr>
            <w:tcW w:w="4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Weighted average shares outstanding of common stock - basic</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4"/>
                <w:szCs w:val="14"/>
                <w:color w:val="auto"/>
              </w:rPr>
              <w:t>43,474,777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of common stock - diluted</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49,433,377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Net income per share attributable to common stockholders - basic</w:t>
            </w:r>
          </w:p>
        </w:tc>
        <w:tc>
          <w:tcPr>
            <w:tcW w:w="4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income per share attributable to common stockholders - diluted</w:t>
            </w:r>
          </w:p>
        </w:tc>
        <w:tc>
          <w:tcPr>
            <w:tcW w:w="4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jc w:val="center"/>
              <w:ind w:right="28"/>
              <w:spacing w:after="0" w:line="157" w:lineRule="exact"/>
              <w:rPr>
                <w:sz w:val="20"/>
                <w:szCs w:val="20"/>
                <w:color w:val="auto"/>
              </w:rPr>
            </w:pPr>
            <w:r>
              <w:rPr>
                <w:rFonts w:ascii="Arial" w:cs="Arial" w:eastAsia="Arial" w:hAnsi="Arial"/>
                <w:sz w:val="14"/>
                <w:szCs w:val="14"/>
                <w:b w:val="1"/>
                <w:bCs w:val="1"/>
                <w:color w:val="auto"/>
                <w:w w:val="95"/>
              </w:rPr>
              <w:t>Pro-Forma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Pro forma net loss</w:t>
            </w:r>
          </w:p>
        </w:tc>
        <w:tc>
          <w:tcPr>
            <w:tcW w:w="4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Weighted average shares outstanding of common stock - basic</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4"/>
                <w:szCs w:val="14"/>
                <w:color w:val="auto"/>
              </w:rPr>
              <w:t>43,474,777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of common stock - diluted</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43,474,777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Net loss per share attributable to common stockholders - basic</w:t>
            </w:r>
          </w:p>
        </w:tc>
        <w:tc>
          <w:tcPr>
            <w:tcW w:w="4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tcPr>
          <w:p>
            <w:pPr>
              <w:jc w:val="right"/>
              <w:ind w:right="6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attributable to common stockholders - diluted</w:t>
            </w:r>
          </w:p>
        </w:tc>
        <w:tc>
          <w:tcPr>
            <w:tcW w:w="4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jc w:val="right"/>
              <w:ind w:right="346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9"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MANAGEMENT’S DISCUSSION AND ANALYSIS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CONDITION AND RESULTS OF OPERATIONS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section titled “Selected Consolidated Financial Data” and our consolidated financial statements and the related notes thereto included in this prospectus. Some of the information contained in this discussion and analysis or set forth in this prospectus contain forward-looking statements that involve risks, uncertainties and assumptions. As a result of many factors, including those factors set forth in the section titled “Risk Factors,” our actual results could differ materially from those discussed in or implied by these forward-looking statements. Factors that could cause or contribute to such differences include, but are not limited to, those discussed in the section titled “Risk Factors.” Please also see the section titled “Special Note Regarding Forward Looking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SAB Biotherapeutics is a clinical-stage biopharmaceutical company advancing a new class of immunotherapies based on its human polyclonal and monoclonal antibodies. SAB has applied advanced genetic engineering and antibody science to develop transchromosomic (Tc) bovine™ herds that produce fully human antibodies targeted to specific diseases, including infectious diseases such as COVID-19 and influenza, immune system disorders including type 1 diabetes and organ transplantation, and cancer. SAB Biotherapeutics’ versatile and scalable DiversitAb™ platform is applicable to a wide range of human diseases, capable of producing specifically targeted, high-potency immunotherapies. The platform has been expanded and validated through funding awarded from U.S. government emerging disease and medical countermeasures programs, the most recent of which totals up to approximately $203.6 million. SAB Biotherapeutics is advancing clinical programs in two indications, and preclinical development in three indications. In addition, SAB Biotherapeutics is executing on two research collaborations with global pharmaceutical companies, including CSL Behring and an undisclosed collaboration.</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SAB generated total revenue of $55.2 million and $3.4 million for the years ended December 31, 2020 and 2019, respectively (1,504.9 % growth), and total revenue of $49.8 million and $29.5 million for the nine months ended September 30, 2021 and 2020, respectively (69% growth). Our revenue to date has been primarily derived from government grants, including for the development of a COVID-19 therapeutic. Approximately $101.0 million in funding remains for our current government grants, with an additional $1.7 million remaining for our current government grants pending approval of extensions on the funding for two of the grants.</w:t>
      </w:r>
    </w:p>
    <w:p>
      <w:pPr>
        <w:spacing w:after="0" w:line="14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plan to focus a substantial portion of our resources on continued research and development efforts towards deepening our technology and expertise with our platform and as well as indications in infectious disease, autoimmune, and oncology indications. As a result, we expect to continue to make significant investments in these areas for the foreseeable future. We incurred research and development expenses of $27.9 million and $8.0 million for the years ended December 31, 2020 and 2019, respectively, and research and development expenses of $46.5 million and $12.6 million for the nine months ended September 30, 2021 and 2020, respectively. We incurred general and administrative expenses of $6.8 million and $4.1 million for the years ended December 31, 2020 and 2019, respectively, and general and administrative expenses of $9.3 million and $4.9 million for the nine months ended September 30, 2021 and 2020, respectively. We have also experienced significant growth in our workforce in recent periods, increasing from 39 employees as of December 31, 2019, to 86 employees as of December 31, 2020 and 143 employees as of September 30, 2021. We expect to continue to incur significant expenses, and we expect such expenses to increase substantially in connection with our ongoing activities, including as we:</w:t>
      </w:r>
    </w:p>
    <w:p>
      <w:pPr>
        <w:spacing w:after="0" w:line="135" w:lineRule="exact"/>
        <w:rPr>
          <w:sz w:val="20"/>
          <w:szCs w:val="20"/>
          <w:color w:val="auto"/>
        </w:rPr>
      </w:pPr>
    </w:p>
    <w:p>
      <w:pPr>
        <w:ind w:left="520" w:hanging="257"/>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 in research and development activities to optimize and expand our DiversitAb™ platform;</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develop new and advance preclinical and clinical progress of pipeline programs;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market to and secure partners to commercialize our products;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expand and enhance operations to deliver products, including investments in manufacturing;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1" w:name="page42"/>
    <w:bookmarkEnd w:id="41"/>
    <w:p>
      <w:pPr>
        <w:ind w:left="520" w:hanging="257"/>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acquire businesses or technologies to support the growth of our business;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continue to establish, protect and defend our intellectual property and patent portfolio;</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operate as a public company.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 date, we have primarily financed our operations from government agreements, including for the development of a COVID-19 therapeutic and Rapid Response Antibody Program, and the issuance and sale of preferred stock.</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net income for the year ended December 31, 2020 was $20.1 million and our net loss for the year ended December 31, 2019 was $9.0 million. Our net loss for the nine months ended September 30, 2021 was $5.6 million and our net income for the nine months ended September 30, 2020 was $11.7 million. As of September 30, 2021, we had an accumulated deficit of $17.6 million and we had cash and cash equivalents totaling $10.8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February 2021, we submitted a forgiveness application related to our Paycheck Protection Program (“PPP”) loan (the “PPP Loan”). In March 2021, the United States (“U.S.”) Small Business Administration (“SBA”) approved the forgiveness of the PPP Loan, plus accrued interest.</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On October 22, 2021 (the “Closing Date”), we consummated the previously announced business combination (the “Business Combination”), pursuant to the terms of the agreement and plan of merger, dated as of June 21, 2021 and as amended on August 12, 2021 by the first amendment to the agreement and plan of merger (as may be amended, supplemented or otherwise modified from time to time, the “Business Combination Agreement”) with Big Cypress Acquisition Corp. (“BCYP”) and Big Cypress Merger Sub Inc. (“Merger Sub”), a wholly-owned subsidiary of BCYP.</w:t>
      </w:r>
    </w:p>
    <w:p>
      <w:pPr>
        <w:spacing w:after="0" w:line="124"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Pursuant to the Business Combination Agreement, on the Closing Date, (i) Merger Sub merged with and into us (the “Merger”), with us as the surviving company in the Merger, and, after giving effect to such Merger, we were renamed SAB Sciences, Inc. and became a wholly-owned subsidiary of BCYP and (ii) BCYP changed its name to “SAB Biotherapeutics, Inc.” (“New SAB”).</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accordance with the terms and subject to the conditions of the Business Combination Agreement, at the effective time of the Merger (the “Effective Time”), (i) each share of our Common Stock and our Preferred Stock outstanding as of immediately prior to the Effective Time was exchanged for shares of common stock, par value $0.0001 per share, of New SAB based on the agreed upon our equity value of $300 million (the “Equity Value”) and a conversion rate of $10.10; (ii) each outstanding vested and unvested option to purchase shares of our Common Stock was exchanged for a comparable option to purchase New SAB Common Stock, based on the Equity Value and a conversion rate of $10.10; and (iii) holders of vested options to purchase shares of our common stock received, in the aggregate, 1,507,124 restricted stock units (the “Earnout RSUs”) related to shares of New SAB Common Stock. Additionally, holders of our Common Stock and our Preferred Stock are entitled to receive their pro rata share of the shares of New SAB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New SAB Common Stock, in the aggregate.</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 fraction of a share of New SAB Common Stock was issued at the Closing, and each person who was otherwise entitled to a fraction of a share of New SAB Common Stock (after aggregating all fractional shares of New SAB Common Stock that otherwise would be received by such holder) received the number of shares of New SAB Common Stock rounded in the aggregate to the nearest whole share of New SAB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Results of Operations and Future Performance</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in order to sustain our growth and improve our results of operations. Our ability to successfully address these challenges is subject to various risks and uncertainties, including those described in the section of this prospectus titled “Risk Factors.”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Our revenue has historically been generated through grants from government and other (non-government) organizations. We currently have no commercially-approved products.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Grant revenue is recognized for the period that the research and development services occur, as qualifying expenses are incurred or conditions of the grants are met. We concluded that payments received under these grants represent conditional, nonreciprocal contributions, as described in ASC 958, </w:t>
      </w:r>
      <w:r>
        <w:rPr>
          <w:rFonts w:ascii="Arial" w:cs="Arial" w:eastAsia="Arial" w:hAnsi="Arial"/>
          <w:sz w:val="14"/>
          <w:szCs w:val="14"/>
          <w:i w:val="1"/>
          <w:iCs w:val="1"/>
          <w:color w:val="auto"/>
        </w:rPr>
        <w:t>Not-for-Profit Entities</w:t>
      </w:r>
      <w:r>
        <w:rPr>
          <w:rFonts w:ascii="Arial" w:cs="Arial" w:eastAsia="Arial" w:hAnsi="Arial"/>
          <w:sz w:val="14"/>
          <w:szCs w:val="14"/>
          <w:color w:val="auto"/>
        </w:rPr>
        <w:t xml:space="preserve">, and that the grants are not within the scope of ASC 606,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w:t>
      </w:r>
      <w:r>
        <w:rPr>
          <w:rFonts w:ascii="Arial" w:cs="Arial" w:eastAsia="Arial" w:hAnsi="Arial"/>
          <w:sz w:val="14"/>
          <w:szCs w:val="14"/>
          <w:i w:val="1"/>
          <w:iCs w:val="1"/>
          <w:color w:val="auto"/>
        </w:rPr>
        <w:t>from Contracts with Customers</w:t>
      </w:r>
      <w:r>
        <w:rPr>
          <w:rFonts w:ascii="Arial" w:cs="Arial" w:eastAsia="Arial" w:hAnsi="Arial"/>
          <w:sz w:val="14"/>
          <w:szCs w:val="14"/>
          <w:color w:val="auto"/>
        </w:rPr>
        <w:t>, as the organizations providing the grants do not meet the definition of a customer. Expenses for grants are tracked by using a project code specific to the grant,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employees also track hours worked by using the project code.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2020 and 2019, and for the nine months ended September 30, 2021 and 2020, we worked on the following grants: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grants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government grants was approximately $52.8 million and $2.9 million, respectively, for the years ended December 31, 2020 and 2019.</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government grants was approximately $49.8 million and $27.1 million, respectively, for the nine months ended September 30, 2021 and 2020.</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National Institute of Health – National Institute of Allergy and Infectious Disease (“NIH-NIAID”) (Federal Award #1R44AI117976-01A1) – this grant was for $1.4 million and started in September 2019 through August 2021. For the years ended December 31, 2020 and 2019, there was approximately $228,000 and $343,000, respectively, in grant income recognized from this grant. For the nine months ended September 30, 2021 and 2020, there was approximately $457,000 and $219,000, respectively, in grant income recognized from this grant. We applied for an extension on the grant funding, which is pending approval. If approved, there is approximately $243,000 in funding remaining for this grant.</w:t>
      </w:r>
    </w:p>
    <w:p>
      <w:pPr>
        <w:spacing w:after="0" w:line="145"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NIH-NIAID (Federal Award #1R41AI131823-02) – this grant was for approximately $1.5 million and started in April 2019 through March 2021. The grant was subsequently amended to extend the date through March 2022. For the years ended December 31, 2020 and 2019, approximately $99,000 and $97,000, respectively, in grant income was recognized from this grant. For the nine months ended September 30, 2021 and 2020, approximately $41,000 and $86,000, respectively, in grant income was recognized from this grant. Approximately $853,000 in funding remains for this grant.</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NIH-NIAID through Geneva Foundation (Federal Award #1R01AI132313-01, Subaward #S-10511-01) – this grant was for approximately $2.7 million and started in August 2017 through July 2021. For the years ended December 31, 2020 and 2019, there was approximately $351,000 and $261,000, respectively, in grant income recognized from this grant. For the nine months ended September 30, 2021 and 2020, there was approximately $72,000 and $248,000, respectively, in grant income recognized from this grant. We applied for an extension on the grant funding, which is pending approval. If approved, there is approximately $1.5 million in funding remaining for this grant.</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Department of Defense, Joint Program Executive Office for Chemical, Biological, Radiological and Nuclear Defense Enabling Biotechnologies (“JPEO”) through Advanced Technology International – this grant was for a potential of $25 million, awarded in stages starting in August 2019 and with potential stages running through February 2023. Additional contract modifications were added to this agreement in 2020 for work on a COVID therapeutic, bringing the agreement total to approximately $143 million. In September 2021, an additional modification for $60.5 million was added to the agreement for advanced clinical development through licensure and commercial manufacturing, bringing the agreement total to approximately $203.6 million. For the years ended December 31, 2020 and 2019, approximately $52.1 million and $2.2 million, respectively, in grant income was recognized from this grant. For the nine months ended September 30, 2021 and 2020, approximately $49.2 million and $26.5 million, respectively, in grant income was recognized from this grant. Approximately $100.1 million in funding remains for this grant.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Other grants (non-government)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other grants (non-government) was approximately $2.4 million and $500,000, respectively, for the years ended December 31, 2020 and 2019.</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recorded no revenue for other grants (non-government) for the nine months ended September 30, 2021. The total revenue for other grants (non-government) was $2.4 million for the nine months ended September 30, 2020.</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CSL Behring – there were three contracts for a combined $2.4 million that were started and completed in 2020. These contracts were related to research and development for a COVID-19 therapeutic ($2 million) and two other targets ($400,000). For the year ended December 31, 2020, there was approximately $2.4 million in grant income recognized from this grant. For the nine months ended September 30, 2020, there was approximately $2.4 million in grant income recognized from this grant.</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Battelle Memorial Institute – this contract was for approximately $2.0 million, starting in April 2018 through January 2019. For the year ended December 31, 2019, there was $400,000 in income recognized from this contract, and the work for this contract was completed as of December 31, 2019.</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Henry Jackson Foundation – this contract was for $250,000, starting in September 2018 through May 31, 2019. For the year ended December 31, 2019, there was $51,000 in income recognized from this contract, and the work for this contract was completed as of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Research and development expenses primarily consist of salaries, benefits, incentive compensation, stock-based compensation, laboratory supplies and materials for employees and contractors engaged in research and product development, licensing fees to use certain technology in our research and development projects, fees paid to consultants and various entities that perform certain research and testing on our behalf. Research and development expenses are tracked by target/project code. Indirect general and administrative costs are allocated based upon a percentage of direct costs. We expense all research and development costs in the period in which they are incurred.</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Research and development activities consist of discovery research for our platform development and the various indications we are working on. We have not historically tracked our research and development expenses on a product candidate-by-product candidate basis.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For the years ended December 31, 2020 and 2019, and for the nine months ended September 30, 2021 and 2020, we had contracts with multiple contract research organizations (“CRO”) to conduct and complete clinical studies. In the case of SAB-185, the CRO has been contracted and paid by the US government. For SAB-176, PPD Development, LP, acting as CRO oversaw the Phase 1 safety study. The terms of that agreement are subject to confidentiality, and the status of the agreement is that it is current, in good standing and approximately 91% of the contract has been paid through September 30, 2021. SAB has also contracted with hVIVO Services Limited to conduct the Phase 2a influenza study on SAB-176. The terms of that agreement are subject to confidentiality, and the status of the agreement is that it is current, in good standing and approximately 90% of the contract has been paid through September 30, 2021.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4"/>
          <w:szCs w:val="14"/>
          <w:color w:val="auto"/>
        </w:rPr>
        <w:t>We expect to continue to incur substantial research and development expenses as we conduct discovery research to enhance our platform and work on our indications. We expect to hire additional employees and continue research and development and manufacturing activities. As a result, we expect that our research and development expenses will continue to increase in future periods and vary from period to period as a percentage of revenue.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Major components within our research and development expenses are salaries and benefits (laboratory &amp; farm), laboratory supplies, animal care, contract manufacturing, clinical trial expense, outside laboratory services, project consulting, and facility expense. Our platform allows us to work on multiple projects with the same resources, as the research and development process of each product is very similar (with minimal differences in the manufacturing process). Research and development expenses by component for the nine months ended September 30, 2021 and 2020 and for the years ended December 31, 2020 and 2019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3"/>
          </w:tcPr>
          <w:p>
            <w:pPr>
              <w:jc w:val="right"/>
              <w:ind w:right="189"/>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Salaries &amp; benefits</w:t>
            </w: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7,148,648</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3,377,947</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4,823,808</w:t>
            </w: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2,776,526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20"/>
                <w:szCs w:val="20"/>
                <w:color w:val="auto"/>
              </w:rPr>
            </w:pPr>
            <w:r>
              <w:rPr>
                <w:rFonts w:ascii="Arial" w:cs="Arial" w:eastAsia="Arial" w:hAnsi="Arial"/>
                <w:sz w:val="14"/>
                <w:szCs w:val="14"/>
                <w:color w:val="auto"/>
              </w:rPr>
              <w:t>Laboratory supplies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4"/>
                <w:szCs w:val="14"/>
                <w:color w:val="auto"/>
              </w:rPr>
              <w:t>11,716,471</w:t>
            </w:r>
          </w:p>
        </w:tc>
        <w:tc>
          <w:tcPr>
            <w:tcW w:w="5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4,663,355</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11,561,462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1,470,637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Animal care</w:t>
            </w: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3,324,915</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1,060,973</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1,626,791</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1,334,118</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20"/>
                <w:szCs w:val="20"/>
                <w:color w:val="auto"/>
              </w:rPr>
            </w:pPr>
            <w:r>
              <w:rPr>
                <w:rFonts w:ascii="Arial" w:cs="Arial" w:eastAsia="Arial" w:hAnsi="Arial"/>
                <w:sz w:val="14"/>
                <w:szCs w:val="14"/>
                <w:color w:val="auto"/>
              </w:rPr>
              <w:t>Contract manufacturing</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4"/>
                <w:szCs w:val="14"/>
                <w:color w:val="auto"/>
              </w:rPr>
              <w:t>12,556,134</w:t>
            </w:r>
          </w:p>
        </w:tc>
        <w:tc>
          <w:tcPr>
            <w:tcW w:w="5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4,216,868</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Clinical trial expense</w:t>
            </w: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4,826,311</w:t>
            </w:r>
          </w:p>
        </w:tc>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429,986</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871,607</w:t>
            </w: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tcPr>
          <w:p>
            <w:pPr>
              <w:spacing w:after="0"/>
              <w:rPr>
                <w:sz w:val="20"/>
                <w:szCs w:val="20"/>
                <w:color w:val="auto"/>
              </w:rPr>
            </w:pPr>
            <w:r>
              <w:rPr>
                <w:rFonts w:ascii="Arial" w:cs="Arial" w:eastAsia="Arial" w:hAnsi="Arial"/>
                <w:sz w:val="14"/>
                <w:szCs w:val="14"/>
                <w:color w:val="auto"/>
              </w:rPr>
              <w:t>Outside laboratory services</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3,355,537</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1,495,375</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2,220,277</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1,142,086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Project consulting</w:t>
            </w: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1,214,375</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255,356</w:t>
            </w: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693,093</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89,029</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20"/>
                <w:szCs w:val="20"/>
                <w:color w:val="auto"/>
              </w:rPr>
            </w:pPr>
            <w:r>
              <w:rPr>
                <w:rFonts w:ascii="Arial" w:cs="Arial" w:eastAsia="Arial" w:hAnsi="Arial"/>
                <w:sz w:val="14"/>
                <w:szCs w:val="14"/>
                <w:color w:val="auto"/>
              </w:rPr>
              <w:t>Facility expense</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2,248,547</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1,172,838</w:t>
            </w:r>
          </w:p>
        </w:tc>
        <w:tc>
          <w:tcPr>
            <w:tcW w:w="34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1,730,926</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1,077,944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144,733</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145,503</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163,827</w:t>
            </w: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129,365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Research and development expenses</w:t>
            </w:r>
          </w:p>
        </w:tc>
        <w:tc>
          <w:tcPr>
            <w:tcW w:w="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360"/>
              <w:spacing w:after="0"/>
              <w:rPr>
                <w:sz w:val="20"/>
                <w:szCs w:val="20"/>
                <w:color w:val="auto"/>
              </w:rPr>
            </w:pPr>
            <w:r>
              <w:rPr>
                <w:rFonts w:ascii="Arial" w:cs="Arial" w:eastAsia="Arial" w:hAnsi="Arial"/>
                <w:sz w:val="14"/>
                <w:szCs w:val="14"/>
                <w:color w:val="auto"/>
              </w:rPr>
              <w:t>46,535,671</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12,601,333</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27,908,659</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8,019,705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General and administrative expenses primarily consist of salaries, benefits and stock-based compensation costs for employees in our executive, accounting and finance, project management, corporate development, office administration, legal and human resources functions as well as professional services fees, such as consulting, audit, tax and legal fees, general corporate costs and allocated overhead expenses. General and administrative expenses also include rent and facilities expenses allocated based upon total direct costs. We expect that our general and administrative expenses will continue to increase in future periods, primarily due to increased headcount to support anticipated growth in the business and due to incremental costs associated with operating as a public company, including costs to comply with the rules and regulations applicable to companies listed on a securities exchange and costs related to compliance and reporting obligations pursuant to the rules and regulations of the SEC and stock exchange listing standards, public relations, insurance and professional services. We expect these expenses to vary from period to period in absolute terms and as a percentage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Other income consists of other items such as the forgiveness of the PPP Loan, plus accrued interest.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consists of interest earned on cash balances in our bank accounts.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consists primarily of interest related to borrowings under notes payable for equipment.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operations presented below should be reviewed in conjunction with the consolidated financial statements and notes included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results of operations for the nine months ended September 30, 2021 and 2020:</w:t>
      </w:r>
    </w:p>
    <w:p>
      <w:pPr>
        <w:spacing w:after="0" w:line="178"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142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Grant revenue</w:t>
            </w:r>
          </w:p>
        </w:tc>
        <w:tc>
          <w:tcPr>
            <w:tcW w:w="86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1380" w:type="dxa"/>
            <w:vAlign w:val="bottom"/>
            <w:gridSpan w:val="4"/>
          </w:tcPr>
          <w:p>
            <w:pPr>
              <w:jc w:val="right"/>
              <w:ind w:right="139"/>
              <w:spacing w:after="0"/>
              <w:rPr>
                <w:sz w:val="20"/>
                <w:szCs w:val="20"/>
                <w:color w:val="auto"/>
              </w:rPr>
            </w:pPr>
            <w:r>
              <w:rPr>
                <w:rFonts w:ascii="Arial" w:cs="Arial" w:eastAsia="Arial" w:hAnsi="Arial"/>
                <w:sz w:val="14"/>
                <w:szCs w:val="14"/>
                <w:color w:val="auto"/>
              </w:rPr>
              <w:t>49,817,825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80"/>
              <w:spacing w:after="0"/>
              <w:rPr>
                <w:sz w:val="20"/>
                <w:szCs w:val="20"/>
                <w:color w:val="auto"/>
              </w:rPr>
            </w:pPr>
            <w:r>
              <w:rPr>
                <w:rFonts w:ascii="Arial" w:cs="Arial" w:eastAsia="Arial" w:hAnsi="Arial"/>
                <w:sz w:val="14"/>
                <w:szCs w:val="14"/>
                <w:color w:val="auto"/>
              </w:rPr>
              <w:t>29,482,614</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49,817,825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29,482,614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gridSpan w:val="2"/>
          </w:tcPr>
          <w:p>
            <w:pPr>
              <w:spacing w:after="0" w:line="152"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jc w:val="right"/>
              <w:ind w:right="139"/>
              <w:spacing w:after="0"/>
              <w:rPr>
                <w:sz w:val="20"/>
                <w:szCs w:val="20"/>
                <w:color w:val="auto"/>
              </w:rPr>
            </w:pPr>
            <w:r>
              <w:rPr>
                <w:rFonts w:ascii="Arial" w:cs="Arial" w:eastAsia="Arial" w:hAnsi="Arial"/>
                <w:sz w:val="14"/>
                <w:szCs w:val="14"/>
                <w:color w:val="auto"/>
              </w:rPr>
              <w:t>46,535,671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12,601,333</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right"/>
              <w:ind w:right="139"/>
              <w:spacing w:after="0"/>
              <w:rPr>
                <w:sz w:val="20"/>
                <w:szCs w:val="20"/>
                <w:color w:val="auto"/>
              </w:rPr>
            </w:pPr>
            <w:r>
              <w:rPr>
                <w:rFonts w:ascii="Arial" w:cs="Arial" w:eastAsia="Arial" w:hAnsi="Arial"/>
                <w:sz w:val="14"/>
                <w:szCs w:val="14"/>
                <w:color w:val="auto"/>
              </w:rPr>
              <w:t>9,331,125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4,907,306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55,866,796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17,508,639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00" w:type="dxa"/>
            <w:vAlign w:val="bottom"/>
            <w:gridSpan w:val="2"/>
          </w:tcPr>
          <w:p>
            <w:pPr>
              <w:spacing w:after="0" w:line="153" w:lineRule="exact"/>
              <w:rPr>
                <w:sz w:val="20"/>
                <w:szCs w:val="20"/>
                <w:color w:val="auto"/>
              </w:rPr>
            </w:pPr>
            <w:r>
              <w:rPr>
                <w:rFonts w:ascii="Arial" w:cs="Arial" w:eastAsia="Arial" w:hAnsi="Arial"/>
                <w:sz w:val="14"/>
                <w:szCs w:val="14"/>
                <w:color w:val="auto"/>
              </w:rPr>
              <w:t>(Loss) income from operations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(6,048,971)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11,973,975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3"/>
          </w:tcPr>
          <w:p>
            <w:pPr>
              <w:jc w:val="right"/>
              <w:ind w:right="139"/>
              <w:spacing w:after="0"/>
              <w:rPr>
                <w:sz w:val="20"/>
                <w:szCs w:val="20"/>
                <w:color w:val="auto"/>
              </w:rPr>
            </w:pPr>
            <w:r>
              <w:rPr>
                <w:rFonts w:ascii="Arial" w:cs="Arial" w:eastAsia="Arial" w:hAnsi="Arial"/>
                <w:sz w:val="14"/>
                <w:szCs w:val="14"/>
                <w:color w:val="auto"/>
                <w:w w:val="90"/>
              </w:rPr>
              <w:t>669,549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color w:val="auto"/>
              </w:rPr>
              <w:t>3,630</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gridSpan w:val="4"/>
            <w:shd w:val="clear" w:color="auto" w:fill="CCEEFF"/>
          </w:tcPr>
          <w:p>
            <w:pPr>
              <w:jc w:val="right"/>
              <w:ind w:right="99"/>
              <w:spacing w:after="0"/>
              <w:rPr>
                <w:sz w:val="20"/>
                <w:szCs w:val="20"/>
                <w:color w:val="auto"/>
              </w:rPr>
            </w:pPr>
            <w:r>
              <w:rPr>
                <w:rFonts w:ascii="Arial" w:cs="Arial" w:eastAsia="Arial" w:hAnsi="Arial"/>
                <w:sz w:val="14"/>
                <w:szCs w:val="14"/>
                <w:color w:val="auto"/>
              </w:rPr>
              <w:t>(228,184)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(325,789)</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gridSpan w:val="3"/>
          </w:tcPr>
          <w:p>
            <w:pPr>
              <w:jc w:val="right"/>
              <w:ind w:right="139"/>
              <w:spacing w:after="0"/>
              <w:rPr>
                <w:sz w:val="20"/>
                <w:szCs w:val="20"/>
                <w:color w:val="auto"/>
              </w:rPr>
            </w:pPr>
            <w:r>
              <w:rPr>
                <w:rFonts w:ascii="Arial" w:cs="Arial" w:eastAsia="Arial" w:hAnsi="Arial"/>
                <w:sz w:val="14"/>
                <w:szCs w:val="14"/>
                <w:color w:val="auto"/>
              </w:rPr>
              <w:t>14,571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color w:val="auto"/>
              </w:rPr>
              <w:t>21,283</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7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(5,593,035</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11,673,099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Comparison of the Nine Months Ended September 30, 2021 and 2020</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Revenue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5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49,817,825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88"/>
              </w:rPr>
              <w:t>29,482,614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20,335,211</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74"/>
        </w:trPr>
        <w:tc>
          <w:tcPr>
            <w:tcW w:w="420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70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49,817,825</w:t>
            </w:r>
          </w:p>
        </w:tc>
        <w:tc>
          <w:tcPr>
            <w:tcW w:w="4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300"/>
              <w:spacing w:after="0"/>
              <w:rPr>
                <w:sz w:val="20"/>
                <w:szCs w:val="20"/>
                <w:color w:val="auto"/>
              </w:rPr>
            </w:pPr>
            <w:r>
              <w:rPr>
                <w:rFonts w:ascii="Arial" w:cs="Arial" w:eastAsia="Arial" w:hAnsi="Arial"/>
                <w:sz w:val="14"/>
                <w:szCs w:val="14"/>
                <w:color w:val="auto"/>
                <w:w w:val="91"/>
              </w:rPr>
              <w:t>29,482,614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Revenue increased by $20.3 million, or 69.0%, for the nine months ended September 30, 2021, as compared to the nine months ended September 30, 2020, primarily due to an increase in work performed under government grants.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178"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46,535,671</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12,601,333</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33,934,338</w:t>
            </w:r>
          </w:p>
        </w:tc>
        <w:tc>
          <w:tcPr>
            <w:tcW w:w="34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research and development expenses</w:t>
            </w:r>
          </w:p>
        </w:tc>
        <w:tc>
          <w:tcPr>
            <w:tcW w:w="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46,535,671</w:t>
            </w:r>
          </w:p>
        </w:tc>
        <w:tc>
          <w:tcPr>
            <w:tcW w:w="340" w:type="dxa"/>
            <w:vAlign w:val="bottom"/>
          </w:tcPr>
          <w:p>
            <w:pPr>
              <w:spacing w:after="0"/>
              <w:rPr>
                <w:sz w:val="14"/>
                <w:szCs w:val="14"/>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12,601,333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Research and development expenses increased by $33.9 million, or 269.3%, for the nine months ended September 30, 2021, as compared to the nine months ended September 30, 2020, primarily due to increased headcount and personnel costs in the research and development function, contract manufacturing, increased clinical work, increased consulting and increases in our production capacity and the associated expenses for materials and supplies supporting research and development activities. For the nine months ended September 30, 2021, we incurred $4.8 million in costs for activities related to clinical studies and $12.6 million in contract manufacturing.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Arial" w:cs="Arial" w:eastAsia="Arial" w:hAnsi="Arial"/>
                <w:sz w:val="14"/>
                <w:szCs w:val="14"/>
                <w:i w:val="1"/>
                <w:iCs w:val="1"/>
                <w:color w:val="auto"/>
              </w:rPr>
              <w:t>General and Administrative</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30"/>
        </w:trPr>
        <w:tc>
          <w:tcPr>
            <w:tcW w:w="3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3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33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r>
      <w:tr>
        <w:trPr>
          <w:trHeight w:val="202"/>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9,331,125</w:t>
            </w:r>
          </w:p>
        </w:tc>
        <w:tc>
          <w:tcPr>
            <w:tcW w:w="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4,907,306</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4,423,819</w:t>
            </w:r>
          </w:p>
        </w:tc>
        <w:tc>
          <w:tcPr>
            <w:tcW w:w="3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90.1%</w:t>
            </w:r>
          </w:p>
        </w:tc>
      </w:tr>
      <w:tr>
        <w:trPr>
          <w:trHeight w:val="164"/>
        </w:trPr>
        <w:tc>
          <w:tcPr>
            <w:tcW w:w="3360" w:type="dxa"/>
            <w:vAlign w:val="bottom"/>
          </w:tcPr>
          <w:p>
            <w:pPr>
              <w:spacing w:after="0"/>
              <w:rPr>
                <w:sz w:val="20"/>
                <w:szCs w:val="20"/>
                <w:color w:val="auto"/>
              </w:rPr>
            </w:pPr>
            <w:r>
              <w:rPr>
                <w:rFonts w:ascii="Arial" w:cs="Arial" w:eastAsia="Arial" w:hAnsi="Arial"/>
                <w:sz w:val="14"/>
                <w:szCs w:val="14"/>
                <w:color w:val="auto"/>
              </w:rPr>
              <w:t>Total general and administrative expenses</w:t>
            </w:r>
          </w:p>
        </w:tc>
        <w:tc>
          <w:tcPr>
            <w:tcW w:w="12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4"/>
                <w:szCs w:val="14"/>
                <w:color w:val="auto"/>
              </w:rPr>
              <w:t>9,331,125</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4,907,306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General and administrative expenses increased by $4.4 million, or 90.1%, for the nine months ended September 30, 2021, as compared to the nine months ended September 30, 2020, primarily due to employee bonus, increased headcount and personnel costs in the general and administrative function, an increase in consulting, legal, and marketing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Income</w:t>
      </w:r>
    </w:p>
    <w:p>
      <w:pPr>
        <w:spacing w:after="0" w:line="178"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669,549</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665,919</w:t>
            </w: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18,344.9%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other income</w:t>
            </w:r>
          </w:p>
        </w:tc>
        <w:tc>
          <w:tcPr>
            <w:tcW w:w="1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70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669,549</w:t>
            </w:r>
          </w:p>
        </w:tc>
        <w:tc>
          <w:tcPr>
            <w:tcW w:w="340" w:type="dxa"/>
            <w:vAlign w:val="bottom"/>
          </w:tcPr>
          <w:p>
            <w:pPr>
              <w:spacing w:after="0"/>
              <w:rPr>
                <w:sz w:val="14"/>
                <w:szCs w:val="14"/>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3,630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Other income increased by $0.7 million, or 18,344.9%, for the nine months ended September 30, 2021, as compared to the nine months ended September 30, 2020, primarily due to the forgiveness of the PPP Loan, plus accrued interest.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Expense</w:t>
      </w:r>
    </w:p>
    <w:p>
      <w:pPr>
        <w:spacing w:after="0" w:line="178"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440" w:type="dxa"/>
            <w:vAlign w:val="bottom"/>
            <w:gridSpan w:val="2"/>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228,184</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325,789</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(97,605)</w:t>
            </w: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interest expense</w:t>
            </w:r>
          </w:p>
        </w:tc>
        <w:tc>
          <w:tcPr>
            <w:tcW w:w="1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760" w:type="dxa"/>
            <w:vAlign w:val="bottom"/>
            <w:vMerge w:val="continue"/>
          </w:tcPr>
          <w:p>
            <w:pPr>
              <w:spacing w:after="0"/>
              <w:rPr>
                <w:sz w:val="14"/>
                <w:szCs w:val="14"/>
                <w:color w:val="auto"/>
              </w:rPr>
            </w:pPr>
          </w:p>
        </w:tc>
        <w:tc>
          <w:tcPr>
            <w:tcW w:w="244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228,184</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325,789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Interest expense decreased by $0.1 million, or 30.0%, for the nine months ended September 30, 2021, as compared to the nine months ended September 30, 2020, due to the payoff of the line of credit in June 2020.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w:t>
      </w:r>
    </w:p>
    <w:p>
      <w:pPr>
        <w:spacing w:after="0" w:line="178"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14,571</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21,283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w:t>
            </w: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interest income</w:t>
            </w: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740" w:type="dxa"/>
            <w:vAlign w:val="bottom"/>
            <w:vMerge w:val="continue"/>
          </w:tcPr>
          <w:p>
            <w:pPr>
              <w:spacing w:after="0"/>
              <w:rPr>
                <w:sz w:val="14"/>
                <w:szCs w:val="14"/>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14,571</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21,283</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9" w:right="31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4"/>
          <w:szCs w:val="14"/>
          <w:color w:val="auto"/>
        </w:rPr>
        <w:t>Interest income decreased by $0.1 million, or 31.5%, for the nine months ended September 30, 2021, as compared to the nine months ended September 30, 2021, primarily due to lower average cash balances and higher bank fees.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our results of operations for the years ended December 31,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9"/>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Grant revenue</w:t>
            </w:r>
          </w:p>
        </w:tc>
        <w:tc>
          <w:tcPr>
            <w:tcW w:w="110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55,237,759</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3,441,807</w:t>
            </w:r>
          </w:p>
        </w:tc>
        <w:tc>
          <w:tcPr>
            <w:tcW w:w="8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revenue</w:t>
            </w:r>
          </w:p>
        </w:tc>
        <w:tc>
          <w:tcPr>
            <w:tcW w:w="340" w:type="dxa"/>
            <w:vAlign w:val="bottom"/>
            <w:tcBorders>
              <w:top w:val="single" w:sz="8" w:color="CCEEFF"/>
              <w:bottom w:val="single" w:sz="8" w:color="CCEEFF"/>
            </w:tcBorders>
          </w:tcPr>
          <w:p>
            <w:pPr>
              <w:spacing w:after="0"/>
              <w:rPr>
                <w:sz w:val="13"/>
                <w:szCs w:val="13"/>
                <w:color w:val="auto"/>
              </w:rPr>
            </w:pPr>
          </w:p>
        </w:tc>
        <w:tc>
          <w:tcPr>
            <w:tcW w:w="60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rPr>
              <w:t>55,237,759</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3,441,807</w:t>
            </w:r>
          </w:p>
        </w:tc>
        <w:tc>
          <w:tcPr>
            <w:tcW w:w="80" w:type="dxa"/>
            <w:vAlign w:val="bottom"/>
            <w:tcBorders>
              <w:top w:val="single" w:sz="8" w:color="CCEEFF"/>
              <w:bottom w:val="single" w:sz="8" w:color="CCEEFF"/>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color w:val="auto"/>
              </w:rPr>
              <w:t>27,908,659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8,019,705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6,772,303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4,095,642</w:t>
            </w:r>
          </w:p>
        </w:tc>
        <w:tc>
          <w:tcPr>
            <w:tcW w:w="8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operating expenses</w:t>
            </w:r>
          </w:p>
        </w:tc>
        <w:tc>
          <w:tcPr>
            <w:tcW w:w="340" w:type="dxa"/>
            <w:vAlign w:val="bottom"/>
            <w:tcBorders>
              <w:top w:val="single" w:sz="8" w:color="CCEEFF"/>
              <w:bottom w:val="single" w:sz="8" w:color="CCEEFF"/>
            </w:tcBorders>
          </w:tcPr>
          <w:p>
            <w:pPr>
              <w:spacing w:after="0"/>
              <w:rPr>
                <w:sz w:val="13"/>
                <w:szCs w:val="13"/>
                <w:color w:val="auto"/>
              </w:rPr>
            </w:pPr>
          </w:p>
        </w:tc>
        <w:tc>
          <w:tcPr>
            <w:tcW w:w="60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rPr>
              <w:t>34,680,962</w:t>
            </w:r>
          </w:p>
        </w:tc>
        <w:tc>
          <w:tcPr>
            <w:tcW w:w="14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12,115,347</w:t>
            </w:r>
          </w:p>
        </w:tc>
        <w:tc>
          <w:tcPr>
            <w:tcW w:w="80" w:type="dxa"/>
            <w:vAlign w:val="bottom"/>
            <w:tcBorders>
              <w:top w:val="single" w:sz="8" w:color="CCEEFF"/>
              <w:bottom w:val="single" w:sz="8" w:color="CCEEFF"/>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20,556,797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(8,673,540)</w:t>
            </w:r>
          </w:p>
        </w:tc>
        <w:tc>
          <w:tcPr>
            <w:tcW w:w="8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3,996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2,594</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color w:val="auto"/>
              </w:rPr>
              <w:t>(469,151)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(428,476)</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26,131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113,133</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Net income (loss)</w:t>
            </w: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940" w:type="dxa"/>
            <w:vAlign w:val="bottom"/>
            <w:gridSpan w:val="2"/>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4"/>
                <w:szCs w:val="14"/>
                <w:color w:val="auto"/>
              </w:rPr>
              <w:t>20,117,773</w:t>
            </w:r>
          </w:p>
        </w:tc>
        <w:tc>
          <w:tcPr>
            <w:tcW w:w="6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(8,986,289</w:t>
            </w:r>
          </w:p>
        </w:tc>
        <w:tc>
          <w:tcPr>
            <w:tcW w:w="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6"/>
              </w:rPr>
              <w:t>Comparison of the Years Ended December 31, 2020 and 2019</w:t>
            </w: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960" w:type="dxa"/>
            <w:vAlign w:val="bottom"/>
            <w:gridSpan w:val="2"/>
          </w:tcPr>
          <w:p>
            <w:pPr>
              <w:spacing w:after="0"/>
              <w:rPr>
                <w:sz w:val="20"/>
                <w:szCs w:val="20"/>
                <w:color w:val="auto"/>
              </w:rPr>
            </w:pPr>
            <w:r>
              <w:rPr>
                <w:rFonts w:ascii="Arial" w:cs="Arial" w:eastAsia="Arial" w:hAnsi="Arial"/>
                <w:sz w:val="14"/>
                <w:szCs w:val="14"/>
                <w:i w:val="1"/>
                <w:iCs w:val="1"/>
                <w:color w:val="auto"/>
              </w:rPr>
              <w:t>Revenue</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3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88"/>
              </w:rPr>
              <w:t>55,237,759</w:t>
            </w:r>
          </w:p>
        </w:tc>
        <w:tc>
          <w:tcPr>
            <w:tcW w:w="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6"/>
              </w:rPr>
              <w:t>3,441,807</w:t>
            </w: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51,795,952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1,504.9%</w:t>
            </w:r>
          </w:p>
        </w:tc>
        <w:tc>
          <w:tcPr>
            <w:tcW w:w="0" w:type="dxa"/>
            <w:vAlign w:val="bottom"/>
          </w:tcPr>
          <w:p>
            <w:pPr>
              <w:spacing w:after="0"/>
              <w:rPr>
                <w:sz w:val="1"/>
                <w:szCs w:val="1"/>
                <w:color w:val="auto"/>
              </w:rPr>
            </w:pPr>
          </w:p>
        </w:tc>
      </w:tr>
      <w:tr>
        <w:trPr>
          <w:trHeight w:val="153"/>
        </w:trPr>
        <w:tc>
          <w:tcPr>
            <w:tcW w:w="3960" w:type="dxa"/>
            <w:vAlign w:val="bottom"/>
            <w:gridSpan w:val="2"/>
          </w:tcPr>
          <w:p>
            <w:pPr>
              <w:spacing w:after="0" w:line="153" w:lineRule="exact"/>
              <w:rPr>
                <w:sz w:val="20"/>
                <w:szCs w:val="20"/>
                <w:color w:val="auto"/>
              </w:rPr>
            </w:pPr>
            <w:r>
              <w:rPr>
                <w:rFonts w:ascii="Arial" w:cs="Arial" w:eastAsia="Arial" w:hAnsi="Arial"/>
                <w:sz w:val="14"/>
                <w:szCs w:val="14"/>
                <w:color w:val="auto"/>
              </w:rPr>
              <w:t>Total revenue</w:t>
            </w:r>
          </w:p>
        </w:tc>
        <w:tc>
          <w:tcPr>
            <w:tcW w:w="340" w:type="dxa"/>
            <w:vAlign w:val="bottom"/>
          </w:tcPr>
          <w:p>
            <w:pPr>
              <w:spacing w:after="0"/>
              <w:rPr>
                <w:sz w:val="13"/>
                <w:szCs w:val="13"/>
                <w:color w:val="auto"/>
              </w:rPr>
            </w:pPr>
          </w:p>
        </w:tc>
        <w:tc>
          <w:tcPr>
            <w:tcW w:w="600" w:type="dxa"/>
            <w:vAlign w:val="bottom"/>
            <w:tcBorders>
              <w:bottom w:val="single" w:sz="8" w:color="auto"/>
            </w:tcBorders>
          </w:tcPr>
          <w:p>
            <w:pPr>
              <w:jc w:val="right"/>
              <w:ind w:right="448"/>
              <w:spacing w:after="0" w:line="153"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80"/>
              <w:spacing w:after="0" w:line="153" w:lineRule="exact"/>
              <w:rPr>
                <w:sz w:val="20"/>
                <w:szCs w:val="20"/>
                <w:color w:val="auto"/>
              </w:rPr>
            </w:pPr>
            <w:r>
              <w:rPr>
                <w:rFonts w:ascii="Arial" w:cs="Arial" w:eastAsia="Arial" w:hAnsi="Arial"/>
                <w:sz w:val="14"/>
                <w:szCs w:val="14"/>
                <w:color w:val="auto"/>
                <w:w w:val="88"/>
              </w:rPr>
              <w:t>55,237,759</w:t>
            </w:r>
          </w:p>
        </w:tc>
        <w:tc>
          <w:tcPr>
            <w:tcW w:w="34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w w:val="86"/>
              </w:rPr>
              <w:t>3,441,807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Revenue increased by $51.8 million, or 1,504.9%, in 2020, primarily due to an increase in government grants.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spacing w:after="0"/>
              <w:rPr>
                <w:sz w:val="20"/>
                <w:szCs w:val="20"/>
                <w:color w:val="auto"/>
              </w:rPr>
            </w:pPr>
            <w:r>
              <w:rPr>
                <w:rFonts w:ascii="Arial" w:cs="Arial" w:eastAsia="Arial" w:hAnsi="Arial"/>
                <w:sz w:val="14"/>
                <w:szCs w:val="14"/>
                <w:i w:val="1"/>
                <w:iCs w:val="1"/>
                <w:color w:val="auto"/>
              </w:rPr>
              <w:t>Research and Development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6"/>
        </w:trPr>
        <w:tc>
          <w:tcPr>
            <w:tcW w:w="4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4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r>
      <w:tr>
        <w:trPr>
          <w:trHeight w:val="192"/>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w w:val="88"/>
              </w:rPr>
              <w:t>27,908,659</w:t>
            </w:r>
          </w:p>
        </w:tc>
        <w:tc>
          <w:tcPr>
            <w:tcW w:w="3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8,019,705</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19,888,954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248.0%</w:t>
            </w:r>
          </w:p>
        </w:tc>
      </w:tr>
      <w:tr>
        <w:trPr>
          <w:trHeight w:val="153"/>
        </w:trPr>
        <w:tc>
          <w:tcPr>
            <w:tcW w:w="4300" w:type="dxa"/>
            <w:vAlign w:val="bottom"/>
          </w:tcPr>
          <w:p>
            <w:pPr>
              <w:spacing w:after="0" w:line="153" w:lineRule="exact"/>
              <w:rPr>
                <w:sz w:val="20"/>
                <w:szCs w:val="20"/>
                <w:color w:val="auto"/>
              </w:rPr>
            </w:pPr>
            <w:r>
              <w:rPr>
                <w:rFonts w:ascii="Arial" w:cs="Arial" w:eastAsia="Arial" w:hAnsi="Arial"/>
                <w:sz w:val="14"/>
                <w:szCs w:val="14"/>
                <w:color w:val="auto"/>
              </w:rPr>
              <w:t>Total research and development expenses</w:t>
            </w:r>
          </w:p>
        </w:tc>
        <w:tc>
          <w:tcPr>
            <w:tcW w:w="340" w:type="dxa"/>
            <w:vAlign w:val="bottom"/>
            <w:tcBorders>
              <w:bottom w:val="single" w:sz="8" w:color="auto"/>
            </w:tcBorders>
          </w:tcPr>
          <w:p>
            <w:pPr>
              <w:jc w:val="right"/>
              <w:ind w:right="188"/>
              <w:spacing w:after="0" w:line="153"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ind w:left="500"/>
              <w:spacing w:after="0" w:line="153" w:lineRule="exact"/>
              <w:rPr>
                <w:sz w:val="20"/>
                <w:szCs w:val="20"/>
                <w:color w:val="auto"/>
              </w:rPr>
            </w:pPr>
            <w:r>
              <w:rPr>
                <w:rFonts w:ascii="Arial" w:cs="Arial" w:eastAsia="Arial" w:hAnsi="Arial"/>
                <w:sz w:val="14"/>
                <w:szCs w:val="14"/>
                <w:color w:val="auto"/>
                <w:w w:val="88"/>
              </w:rPr>
              <w:t>27,908,659</w:t>
            </w:r>
          </w:p>
        </w:tc>
        <w:tc>
          <w:tcPr>
            <w:tcW w:w="340" w:type="dxa"/>
            <w:vAlign w:val="bottom"/>
          </w:tcPr>
          <w:p>
            <w:pPr>
              <w:spacing w:after="0"/>
              <w:rPr>
                <w:sz w:val="13"/>
                <w:szCs w:val="13"/>
                <w:color w:val="auto"/>
              </w:rPr>
            </w:pPr>
          </w:p>
        </w:tc>
        <w:tc>
          <w:tcPr>
            <w:tcW w:w="8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86"/>
              </w:rPr>
              <w:t>8,019,705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Research and development expenses increased by $19.9 million, or 248.0%, in 2020, primarily due to increased headcount in the research and development function, increased clinical work, and increases in our production capacity and the associated expenses for materials and supplies supporting research and development activities.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Arial" w:cs="Arial" w:eastAsia="Arial" w:hAnsi="Arial"/>
                <w:sz w:val="14"/>
                <w:szCs w:val="14"/>
                <w:i w:val="1"/>
                <w:iCs w:val="1"/>
                <w:color w:val="auto"/>
              </w:rPr>
              <w:t>General and Administrative</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6"/>
        </w:trPr>
        <w:tc>
          <w:tcPr>
            <w:tcW w:w="3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33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r>
      <w:tr>
        <w:trPr>
          <w:trHeight w:val="192"/>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6,772,303</w:t>
            </w:r>
          </w:p>
        </w:tc>
        <w:tc>
          <w:tcPr>
            <w:tcW w:w="3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4,095,642</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2,676,661</w:t>
            </w:r>
          </w:p>
        </w:tc>
        <w:tc>
          <w:tcPr>
            <w:tcW w:w="3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53"/>
        </w:trPr>
        <w:tc>
          <w:tcPr>
            <w:tcW w:w="3360" w:type="dxa"/>
            <w:vAlign w:val="bottom"/>
          </w:tcPr>
          <w:p>
            <w:pPr>
              <w:spacing w:after="0" w:line="153" w:lineRule="exact"/>
              <w:rPr>
                <w:sz w:val="20"/>
                <w:szCs w:val="20"/>
                <w:color w:val="auto"/>
              </w:rPr>
            </w:pPr>
            <w:r>
              <w:rPr>
                <w:rFonts w:ascii="Arial" w:cs="Arial" w:eastAsia="Arial" w:hAnsi="Arial"/>
                <w:sz w:val="14"/>
                <w:szCs w:val="14"/>
                <w:color w:val="auto"/>
              </w:rPr>
              <w:t>Total general and administrative expenses</w:t>
            </w:r>
          </w:p>
        </w:tc>
        <w:tc>
          <w:tcPr>
            <w:tcW w:w="940" w:type="dxa"/>
            <w:vAlign w:val="bottom"/>
          </w:tcPr>
          <w:p>
            <w:pPr>
              <w:spacing w:after="0"/>
              <w:rPr>
                <w:sz w:val="13"/>
                <w:szCs w:val="13"/>
                <w:color w:val="auto"/>
              </w:rPr>
            </w:pPr>
          </w:p>
        </w:tc>
        <w:tc>
          <w:tcPr>
            <w:tcW w:w="900" w:type="dxa"/>
            <w:vAlign w:val="bottom"/>
            <w:tcBorders>
              <w:bottom w:val="single" w:sz="8" w:color="auto"/>
            </w:tcBorders>
          </w:tcPr>
          <w:p>
            <w:pPr>
              <w:jc w:val="right"/>
              <w:ind w:right="748"/>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89"/>
              </w:rPr>
              <w:t>6,772,303</w:t>
            </w:r>
          </w:p>
        </w:tc>
        <w:tc>
          <w:tcPr>
            <w:tcW w:w="340" w:type="dxa"/>
            <w:vAlign w:val="bottom"/>
          </w:tcPr>
          <w:p>
            <w:pPr>
              <w:spacing w:after="0"/>
              <w:rPr>
                <w:sz w:val="13"/>
                <w:szCs w:val="13"/>
                <w:color w:val="auto"/>
              </w:rPr>
            </w:pPr>
          </w:p>
        </w:tc>
        <w:tc>
          <w:tcPr>
            <w:tcW w:w="8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86"/>
              </w:rPr>
              <w:t>4,095,642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 expenses increased by $2.7 million, or 65.4%, in 2020, primarily due to increased headcount in the general and administrative function.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Arial" w:cs="Arial" w:eastAsia="Arial" w:hAnsi="Arial"/>
                <w:sz w:val="14"/>
                <w:szCs w:val="14"/>
                <w:i w:val="1"/>
                <w:iCs w:val="1"/>
                <w:color w:val="auto"/>
              </w:rPr>
              <w:t>Other (Income) Expense</w:t>
            </w:r>
          </w:p>
        </w:tc>
        <w:tc>
          <w:tcPr>
            <w:tcW w:w="1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3"/>
        </w:trPr>
        <w:tc>
          <w:tcPr>
            <w:tcW w:w="2860" w:type="dxa"/>
            <w:vAlign w:val="bottom"/>
          </w:tcPr>
          <w:p>
            <w:pPr>
              <w:spacing w:after="0"/>
              <w:rPr>
                <w:sz w:val="20"/>
                <w:szCs w:val="20"/>
                <w:color w:val="auto"/>
              </w:rPr>
            </w:pPr>
            <w:r>
              <w:rPr>
                <w:rFonts w:ascii="Arial" w:cs="Arial" w:eastAsia="Arial" w:hAnsi="Arial"/>
                <w:sz w:val="14"/>
                <w:szCs w:val="14"/>
                <w:i w:val="1"/>
                <w:iCs w:val="1"/>
                <w:color w:val="auto"/>
              </w:rPr>
              <w:t>Interest Expense</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6"/>
        </w:trPr>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286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r>
      <w:tr>
        <w:trPr>
          <w:trHeight w:val="192"/>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469,151</w:t>
            </w:r>
          </w:p>
        </w:tc>
        <w:tc>
          <w:tcPr>
            <w:tcW w:w="3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428,476</w:t>
            </w: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40,675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53"/>
        </w:trPr>
        <w:tc>
          <w:tcPr>
            <w:tcW w:w="2860" w:type="dxa"/>
            <w:vAlign w:val="bottom"/>
          </w:tcPr>
          <w:p>
            <w:pPr>
              <w:spacing w:after="0" w:line="153" w:lineRule="exact"/>
              <w:rPr>
                <w:sz w:val="20"/>
                <w:szCs w:val="20"/>
                <w:color w:val="auto"/>
              </w:rPr>
            </w:pPr>
            <w:r>
              <w:rPr>
                <w:rFonts w:ascii="Arial" w:cs="Arial" w:eastAsia="Arial" w:hAnsi="Arial"/>
                <w:sz w:val="14"/>
                <w:szCs w:val="14"/>
                <w:color w:val="auto"/>
              </w:rPr>
              <w:t>Total interest expense</w:t>
            </w:r>
          </w:p>
        </w:tc>
        <w:tc>
          <w:tcPr>
            <w:tcW w:w="1440" w:type="dxa"/>
            <w:vAlign w:val="bottom"/>
          </w:tcPr>
          <w:p>
            <w:pPr>
              <w:spacing w:after="0"/>
              <w:rPr>
                <w:sz w:val="13"/>
                <w:szCs w:val="13"/>
                <w:color w:val="auto"/>
              </w:rPr>
            </w:pPr>
          </w:p>
        </w:tc>
        <w:tc>
          <w:tcPr>
            <w:tcW w:w="940" w:type="dxa"/>
            <w:vAlign w:val="bottom"/>
            <w:tcBorders>
              <w:bottom w:val="single" w:sz="8" w:color="auto"/>
            </w:tcBorders>
          </w:tcPr>
          <w:p>
            <w:pPr>
              <w:jc w:val="right"/>
              <w:ind w:right="788"/>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469,151</w:t>
            </w:r>
          </w:p>
        </w:tc>
        <w:tc>
          <w:tcPr>
            <w:tcW w:w="340" w:type="dxa"/>
            <w:vAlign w:val="bottom"/>
          </w:tcPr>
          <w:p>
            <w:pPr>
              <w:spacing w:after="0"/>
              <w:rPr>
                <w:sz w:val="13"/>
                <w:szCs w:val="13"/>
                <w:color w:val="auto"/>
              </w:rPr>
            </w:pPr>
          </w:p>
        </w:tc>
        <w:tc>
          <w:tcPr>
            <w:tcW w:w="92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428,476</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increased by less than $0.1 million in 2020, or 9.5%, due to the addition of two finance leases for laboratory equipment in March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Arial" w:cs="Arial" w:eastAsia="Arial" w:hAnsi="Arial"/>
                <w:sz w:val="14"/>
                <w:szCs w:val="14"/>
                <w:i w:val="1"/>
                <w:iCs w:val="1"/>
                <w:color w:val="auto"/>
              </w:rPr>
              <w:t>Interest Income</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46"/>
        </w:trPr>
        <w:tc>
          <w:tcPr>
            <w:tcW w:w="2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274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5"/>
                <w:szCs w:val="15"/>
                <w:color w:val="auto"/>
              </w:rPr>
            </w:pPr>
          </w:p>
        </w:tc>
      </w:tr>
      <w:tr>
        <w:trPr>
          <w:trHeight w:val="192"/>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26,131</w:t>
            </w: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113,133</w:t>
            </w: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(87,002)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(76.9)%</w:t>
            </w:r>
          </w:p>
        </w:tc>
      </w:tr>
      <w:tr>
        <w:trPr>
          <w:trHeight w:val="153"/>
        </w:trPr>
        <w:tc>
          <w:tcPr>
            <w:tcW w:w="2740" w:type="dxa"/>
            <w:vAlign w:val="bottom"/>
          </w:tcPr>
          <w:p>
            <w:pPr>
              <w:spacing w:after="0" w:line="153" w:lineRule="exact"/>
              <w:rPr>
                <w:sz w:val="20"/>
                <w:szCs w:val="20"/>
                <w:color w:val="auto"/>
              </w:rPr>
            </w:pPr>
            <w:r>
              <w:rPr>
                <w:rFonts w:ascii="Arial" w:cs="Arial" w:eastAsia="Arial" w:hAnsi="Arial"/>
                <w:sz w:val="14"/>
                <w:szCs w:val="14"/>
                <w:color w:val="auto"/>
              </w:rPr>
              <w:t>Total interest income</w:t>
            </w:r>
          </w:p>
        </w:tc>
        <w:tc>
          <w:tcPr>
            <w:tcW w:w="1540" w:type="dxa"/>
            <w:vAlign w:val="bottom"/>
          </w:tcPr>
          <w:p>
            <w:pPr>
              <w:spacing w:after="0"/>
              <w:rPr>
                <w:sz w:val="13"/>
                <w:szCs w:val="13"/>
                <w:color w:val="auto"/>
              </w:rPr>
            </w:pPr>
          </w:p>
        </w:tc>
        <w:tc>
          <w:tcPr>
            <w:tcW w:w="960" w:type="dxa"/>
            <w:vAlign w:val="bottom"/>
            <w:tcBorders>
              <w:bottom w:val="single" w:sz="8" w:color="auto"/>
            </w:tcBorders>
          </w:tcPr>
          <w:p>
            <w:pPr>
              <w:jc w:val="right"/>
              <w:ind w:right="83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26,131</w:t>
            </w:r>
          </w:p>
        </w:tc>
        <w:tc>
          <w:tcPr>
            <w:tcW w:w="320" w:type="dxa"/>
            <w:vAlign w:val="bottom"/>
          </w:tcPr>
          <w:p>
            <w:pPr>
              <w:spacing w:after="0"/>
              <w:rPr>
                <w:sz w:val="13"/>
                <w:szCs w:val="13"/>
                <w:color w:val="auto"/>
              </w:rPr>
            </w:pPr>
          </w:p>
        </w:tc>
        <w:tc>
          <w:tcPr>
            <w:tcW w:w="940" w:type="dxa"/>
            <w:vAlign w:val="bottom"/>
            <w:tcBorders>
              <w:bottom w:val="single" w:sz="8" w:color="auto"/>
            </w:tcBorders>
          </w:tcPr>
          <w:p>
            <w:pPr>
              <w:jc w:val="right"/>
              <w:ind w:right="788"/>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113,133</w:t>
            </w:r>
          </w:p>
        </w:tc>
        <w:tc>
          <w:tcPr>
            <w:tcW w:w="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decreased by less than $0.1 million, or 76.9%, in 2020, primarily due to lower average cash balances, lower interest rates, and higher bank fees.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September 30, 2021 and December 31, 2020, we had $10.8 million and $12.6 million, respectively, of cash and cash equivalents. To date, we have primarily relied on grant revenue in the form of government grants and the sale of preferred stock.</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standard repayment terms for accounts receivable are thirty days from the invoice date. As a majority of our accounts receivable is from work performed under government grants, we have not had an uncollectible accounts receivable amount in over 5 years. As of September 30, 2021, we have received approximately $39.6 million of the $49.8 million in revenue recorded for the nine months ended September 30, 2021.</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intend to continue to invest in our business and, as a result, may incur operating losses in future periods. We expect to continue to invest in research and development efforts towards expanding our capabilities and expertise along our platform and the indications we are working on, as well as building our business development team and marketing our solutions to partners in support of the growth of the business. Based on our current business plan, we believe the net proceeds from the Merger, together with our existing cash and cash equivalents and anticipated cash flows from operations, will be sufficient to meet our working capital and capital expenditure needs over at least the next twelve months.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3"/>
          <w:szCs w:val="13"/>
          <w:color w:val="auto"/>
        </w:rPr>
        <w:t>Our future capital requirements will depend on many factors, including, but not limited to our ability to successfully secure additional government grants and to secure contracts with new partners for the successful development and commercialization of our products. If we are unable to execute on our business plan and adequately fund operations, or if the business plan requires a level of spending in excess of cash resources, we may be required to negotiate partnerships in which we receive greater near-term payments at the expense of potential downstream revenue. Alternatively, we may need to seek additional equity or debt financing, which may not be available on terms acceptable to us or at all.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common shareholders. Debt financing and preferred equity financing, if available, may involve agreements that include covenants restricting our ability to take specific actions, such as incurring additional debt, selling or licensing our assets, making product acquisitions, making capital expenditures, or declaring dividends. If we are unable to generate sufficient revenue or raise additional capital when desired, our business, financial condition, results of operations and prospects would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of Liquidity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we have financed our operations primarily from revenue in the form of government grants and from equity financings.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Financings and Option Exercises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September 30, 2021, we have raised approximately $48.2 million since our inception from the issuance and sale of convertible preferred shares, net of issuance costs associated with such financings, and exercises of employee stock options.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and December 31, 2020, we had a debt balance of $49,156 and $710,768,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payable, related party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February 24, 2016, we entered into a loan agreement with Christiansen Land and Cattle, Ltd., a related party, for a $3.0 million revolving line of credit secured by a blanket security interest in our assets.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borrowed $2.5 million from the line of credit in 2016, and $350,000 in 2017. The line of credit had a fixed rate per annum of 6% compounded annually. The initial agreement was based upon repayment following a significant capital event – closing of equity or debt financing with total proceeds to us of $15 million or more or one year from the agreement date, whichever occurred first. The agreement was amended in August 2018 to extend the repayment timeframe to August 31, 2019. The first payment to repay this loan was made on August 31, 2018 ($1.0 million payment). Additional voluntary payments were being made at the rate of $30,000 per month. In August 2019, the agreement was amended to extend the maturity date to the earlier of August 31, 2020 or the occurrence of a significant capital event. The note payable balance as of December 31, 2019 was $1,364,644, which included accrued interest of $3,580. In July 2020, the note payable was paid in full and the line of credit was terminated.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payable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November 15, 2017, we entered into a loan agreement with a bank, for the financing of an ultrasound machine for $18,997. The agreement was for a four-year term, with monthly payments of $440. The note payable had a balance as of December 31, 2019 of $9,203 and was paid off in full in September 2020.</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December 2017, we entered into two loan agreements with a financial institution. One agreement was for the purchase of a tractor for $116,661 at a 3.6% interest rate, and a second agreement for the purchase of a trailer, truck, scale, and chute for $47,721 at a 5.9% interest rate. The loan for the tractor included annual payments of $25,913 for the next five years starting in December 2018. The loan for the trailer, truck, scale, and chute included monthly payments of $920 for five years starting in January 2018 through December 2022. During 2019, the trailer, truck, scale, and chute loan was paid in full. As of September 30, 2021 and December 31, 2020, the tractor loan balance was $49,156.</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0" w:name="page51"/>
    <w:bookmarkEnd w:id="50"/>
    <w:p>
      <w:pPr>
        <w:jc w:val="both"/>
        <w:spacing w:after="0" w:line="280" w:lineRule="auto"/>
        <w:rPr>
          <w:sz w:val="20"/>
          <w:szCs w:val="20"/>
          <w:color w:val="auto"/>
        </w:rPr>
      </w:pPr>
      <w:r>
        <w:rPr>
          <w:rFonts w:ascii="Arial" w:cs="Arial" w:eastAsia="Arial" w:hAnsi="Arial"/>
          <w:sz w:val="13"/>
          <w:szCs w:val="13"/>
          <w:color w:val="auto"/>
        </w:rPr>
        <w:t>On March 27, 2020, President Trump signed into law the “Coronavirus Aid, Relief and Economic Security Act (“CARES Act”). In April 2020, we entered into the PPP Loan with First Premier Bank under the PPP, which is part of the CARES Act administered by the SBA. As part of the application for these funds, we, in good faith, certified that the current economic uncertainty made the loan request necessary to support our ongoing operations. The certification further requires us to take into account our current business activity and our ability to access other sources of liquidity sufficient to support ongoing operations in a manner that is not significantly detrimental to the business. Under the PPP, we received proceeds of approximately $661,612. In accordance with the requirements of the PPP, we utilized the proceeds from the PPP Loan primarily for payroll costs. The PPP Loan has a 1.00% interest rate per annum, matures in April 2022 and is subject to the terms and conditions applicable to loans administered by the SBA under the PPP. Under the terms of PPP, all or certain amounts of the PPP Loan may be forgiven if they are used for qualifying expenses, as described in the CARES Act. We recorded the entire amount of the PPP Loan as debt. Under the terms of the PPP Loan, monthly payments of principal and interest were due to commence November 1, 2020, however, the SBA is deferring loan payments for borrowers who apply for loan forgiveness until the SBA remits the borrower’s loan forgiveness amount to the lender. No payments were made in 2020 and, as of December 31, 2020, the PPP Loan balance was $661,612. An application for forgiveness of the PPP Loan was completed in February 2021. In March 2021, the SBA approved the forgiveness of the PPP Loan, plus accrued interest. We recorded a gain on extinguishment of PPP Loan of $661,612 for the forgiveness of the PPP Loan within other income on the condensed consolidated statement of operations for the nine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Please refer to the audited consolidated financial statements as of, and for the years ended December 31, 2020 and 2019, included in this prospectus for additional information on our debt.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nine months ended September 30, 2021 and 2020:</w:t>
      </w:r>
    </w:p>
    <w:p>
      <w:pPr>
        <w:spacing w:after="0" w:line="178" w:lineRule="exact"/>
        <w:rPr>
          <w:sz w:val="20"/>
          <w:szCs w:val="20"/>
          <w:color w:val="auto"/>
        </w:rPr>
      </w:pPr>
    </w:p>
    <w:p>
      <w:pPr>
        <w:jc w:val="center"/>
        <w:ind w:left="3240"/>
        <w:spacing w:after="0"/>
        <w:rPr>
          <w:sz w:val="20"/>
          <w:szCs w:val="20"/>
          <w:color w:val="auto"/>
        </w:rPr>
      </w:pPr>
      <w:r>
        <w:rPr>
          <w:rFonts w:ascii="Arial" w:cs="Arial" w:eastAsia="Arial" w:hAnsi="Arial"/>
          <w:sz w:val="14"/>
          <w:szCs w:val="14"/>
          <w:b w:val="1"/>
          <w:bCs w:val="1"/>
          <w:color w:val="auto"/>
        </w:rPr>
        <w:t>Nine Months Ended</w:t>
      </w:r>
    </w:p>
    <w:p>
      <w:pPr>
        <w:spacing w:after="0" w:line="24" w:lineRule="exact"/>
        <w:rPr>
          <w:sz w:val="20"/>
          <w:szCs w:val="20"/>
          <w:color w:val="auto"/>
        </w:rPr>
      </w:pPr>
    </w:p>
    <w:p>
      <w:pPr>
        <w:jc w:val="center"/>
        <w:ind w:left="324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operating activities</w:t>
            </w:r>
          </w:p>
        </w:tc>
        <w:tc>
          <w:tcPr>
            <w:tcW w:w="13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6,865,042</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5,473,378</w:t>
            </w:r>
          </w:p>
        </w:tc>
        <w:tc>
          <w:tcPr>
            <w:tcW w:w="80" w:type="dxa"/>
            <w:vAlign w:val="bottom"/>
            <w:shd w:val="clear" w:color="auto" w:fill="CCEEFF"/>
          </w:tcPr>
          <w:p>
            <w:pPr>
              <w:spacing w:after="0"/>
              <w:rPr>
                <w:sz w:val="14"/>
                <w:szCs w:val="14"/>
                <w:color w:val="auto"/>
              </w:rPr>
            </w:pP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gridSpan w:val="2"/>
          </w:tcPr>
          <w:p>
            <w:pPr>
              <w:jc w:val="right"/>
              <w:ind w:right="159"/>
              <w:spacing w:after="0"/>
              <w:rPr>
                <w:sz w:val="20"/>
                <w:szCs w:val="20"/>
                <w:color w:val="auto"/>
              </w:rPr>
            </w:pPr>
            <w:r>
              <w:rPr>
                <w:rFonts w:ascii="Arial" w:cs="Arial" w:eastAsia="Arial" w:hAnsi="Arial"/>
                <w:sz w:val="14"/>
                <w:szCs w:val="14"/>
                <w:color w:val="auto"/>
                <w:w w:val="92"/>
              </w:rPr>
              <w:t>(8,581,735)</w:t>
            </w:r>
          </w:p>
        </w:tc>
        <w:tc>
          <w:tcPr>
            <w:tcW w:w="36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(7,371,717)</w:t>
            </w: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1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(142,928)</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9,058,476</w:t>
            </w:r>
          </w:p>
        </w:tc>
        <w:tc>
          <w:tcPr>
            <w:tcW w:w="80" w:type="dxa"/>
            <w:vAlign w:val="bottom"/>
            <w:shd w:val="clear" w:color="auto" w:fill="CCEEFF"/>
          </w:tcPr>
          <w:p>
            <w:pPr>
              <w:spacing w:after="0"/>
              <w:rPr>
                <w:sz w:val="17"/>
                <w:szCs w:val="17"/>
                <w:color w:val="auto"/>
              </w:rPr>
            </w:pPr>
          </w:p>
        </w:tc>
      </w:tr>
      <w:tr>
        <w:trPr>
          <w:trHeight w:val="164"/>
        </w:trPr>
        <w:tc>
          <w:tcPr>
            <w:tcW w:w="43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Net (decrease) increase in cash and cash equivalents</w:t>
            </w:r>
          </w:p>
        </w:tc>
        <w:tc>
          <w:tcPr>
            <w:tcW w:w="1300" w:type="dxa"/>
            <w:vAlign w:val="bottom"/>
            <w:tcBorders>
              <w:top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(1,859,621</w:t>
            </w:r>
          </w:p>
        </w:tc>
        <w:tc>
          <w:tcPr>
            <w:tcW w:w="240" w:type="dxa"/>
            <w:vAlign w:val="bottom"/>
            <w:tcBorders>
              <w:top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7,160,137</w:t>
            </w:r>
          </w:p>
        </w:tc>
        <w:tc>
          <w:tcPr>
            <w:tcW w:w="80" w:type="dxa"/>
            <w:vAlign w:val="bottom"/>
            <w:tcBorders>
              <w:top w:val="single" w:sz="8" w:color="CCEEFF"/>
            </w:tcBorders>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Net cash provided by operating activities increased by $1.4 million for the nine months ended September 30, 2021, as compared to the nine months ended September 30, 2020, primarily due to increased revenue from performance under our government contracts.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Net cash used in investing activities increased by $1.2 million for the nine months ended September 30, 2021, as compared to the nine months ended September 30, 2020, primarily due to investments in our manufacturing capabilities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Net cash (used in) provided by financing activities changed by $9.2 million for the nine months ended September 30, 2021, as compared to the nine months ended September 30, 2020, primarily due to the series B financing round in 2020, with no financings in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The following table summarizes our cash flows for the years ended December 31,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10,004,795</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(9,214,440)</w:t>
            </w:r>
          </w:p>
        </w:tc>
        <w:tc>
          <w:tcPr>
            <w:tcW w:w="80" w:type="dxa"/>
            <w:vAlign w:val="bottom"/>
            <w:gridSpan w:val="2"/>
            <w:shd w:val="clear" w:color="auto" w:fill="CCEEFF"/>
          </w:tcPr>
          <w:p>
            <w:pPr>
              <w:spacing w:after="0"/>
              <w:rPr>
                <w:sz w:val="14"/>
                <w:szCs w:val="14"/>
                <w:color w:val="auto"/>
              </w:rPr>
            </w:pP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(12,722,702)</w:t>
            </w:r>
          </w:p>
        </w:tc>
        <w:tc>
          <w:tcPr>
            <w:tcW w:w="36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color w:val="auto"/>
              </w:rPr>
              <w:t>(608,748)</w:t>
            </w:r>
          </w:p>
        </w:tc>
      </w:tr>
      <w:tr>
        <w:trPr>
          <w:trHeight w:val="202"/>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8,982,321</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3,681,628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164"/>
        </w:trPr>
        <w:tc>
          <w:tcPr>
            <w:tcW w:w="430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6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6,264,414</w:t>
            </w:r>
          </w:p>
        </w:tc>
        <w:tc>
          <w:tcPr>
            <w:tcW w:w="24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(6,141,560</w:t>
            </w:r>
          </w:p>
        </w:tc>
        <w:tc>
          <w:tcPr>
            <w:tcW w:w="80" w:type="dxa"/>
            <w:vAlign w:val="bottom"/>
            <w:gridSpan w:val="2"/>
          </w:tcPr>
          <w:p>
            <w:pPr>
              <w:jc w:val="right"/>
              <w:ind w:right="40"/>
              <w:spacing w:after="0"/>
              <w:rPr>
                <w:sz w:val="20"/>
                <w:szCs w:val="20"/>
                <w:color w:val="auto"/>
              </w:rPr>
            </w:pPr>
            <w:r>
              <w:rPr>
                <w:rFonts w:ascii="Arial" w:cs="Arial" w:eastAsia="Arial" w:hAnsi="Arial"/>
                <w:sz w:val="8"/>
                <w:szCs w:val="8"/>
                <w:color w:val="auto"/>
                <w:w w:val="73"/>
              </w:rPr>
              <w:t>)</w:t>
            </w:r>
          </w:p>
        </w:tc>
      </w:tr>
      <w:tr>
        <w:trPr>
          <w:trHeight w:val="20"/>
        </w:trPr>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 operating activities changed by $19.2 million in 2020, primarily due to increased revenue from performance under our government contracts.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increased by $12.1 million in 2020, primarily due to investments in our manufacturing capabilities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Net cash provided by financing activities increased by $5.3 million in 2020, primarily due to the $10.0 million series B financing round in 2020, as compared to the $4.3 million raised in the series B financing round in 2019.</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obligations and commitments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Payments Due by Period</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87"/>
              </w:rPr>
              <w:t>Less than 1 year</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Over 5 years</w:t>
            </w:r>
          </w:p>
        </w:tc>
        <w:tc>
          <w:tcPr>
            <w:tcW w:w="100" w:type="dxa"/>
            <w:vAlign w:val="bottom"/>
          </w:tcPr>
          <w:p>
            <w:pPr>
              <w:spacing w:after="0"/>
              <w:rPr>
                <w:sz w:val="15"/>
                <w:szCs w:val="15"/>
                <w:color w:val="auto"/>
              </w:rPr>
            </w:pPr>
          </w:p>
        </w:tc>
      </w:tr>
      <w:tr>
        <w:trPr>
          <w:trHeight w:val="172"/>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Notes payable (1)</w:t>
            </w: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710,768</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538,731</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172,037</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Operating lease liabilities (2)</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3,559,539</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1,053,891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2,037,680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467,968</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2"/>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Finance lease liabilities (2)</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7,331,097</w:t>
            </w: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490,848</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851,267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802,992</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5,185,990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4"/>
        </w:trPr>
        <w:tc>
          <w:tcPr>
            <w:tcW w:w="4200" w:type="dxa"/>
            <w:vAlign w:val="bottom"/>
          </w:tcPr>
          <w:p>
            <w:pPr>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11,601,404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2,083,470</w:t>
            </w:r>
          </w:p>
        </w:tc>
        <w:tc>
          <w:tcPr>
            <w:tcW w:w="5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3,060,984</w:t>
            </w:r>
          </w:p>
        </w:tc>
        <w:tc>
          <w:tcPr>
            <w:tcW w:w="240" w:type="dxa"/>
            <w:vAlign w:val="bottom"/>
          </w:tcPr>
          <w:p>
            <w:pPr>
              <w:spacing w:after="0"/>
              <w:rPr>
                <w:sz w:val="14"/>
                <w:szCs w:val="14"/>
                <w:color w:val="auto"/>
              </w:rPr>
            </w:pP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1,270,960</w:t>
            </w:r>
          </w:p>
        </w:tc>
        <w:tc>
          <w:tcPr>
            <w:tcW w:w="3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5,185,990</w:t>
            </w:r>
          </w:p>
        </w:tc>
        <w:tc>
          <w:tcPr>
            <w:tcW w:w="10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hanging="257"/>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February 2021, we submitted a forgiveness application related to the PPP Loan. In March 2021, the SBA approved the forgiveness of the PPP Loan, plus accrued interest.</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are party to certain contractual arrangements for equipment, lab space, and an animal facility, which meet the definition of leases under Financial Accounting Standards Board (“FASB”) Accounting Standards Codification (“ASC”) Topic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(“ASC 842”).</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enter into contracts in the normal course of business with third parties, including CROs. These payments are not included in the table above, as the amount and timing of such payments are not known.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there were no material changes outside of the ordinary course of business to our commitments and contractual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had $12.7 million of federal net operating loss carryforwards as of September 30, 2021 and December 31, 2020. Our carryforwards are subject to review and possible adjustment by the appropriate taxing authorities. These carryforwards may generally be utilized in any future period but may be subject to limitations based upon changes in the ownership of our shares in a prior or future period. We have not quantified the amount of such limitations, if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did not have, for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Internal control over financial reporting is a process designed to provide reasonable assurance regarding the reliability of financial reporting and the preparation of financial statements in accordance with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Qualitative and Quantitative Disclosures About Market Risk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We received approximately 96% and 85% of our total revenue through grants from government organizations for the years ended December 31, 2020 and 2019, respectively, and approximately 100% and 92% of our total revenue through grants from government organizations for the nine months ended September 30, 2021 and 2020, respectively. We received approximately 4% and 12% of our total revenue through a grant from a non-government organization for the years ended December 31, 2020 and 2019, respectively, and approximately 0% and 8% of our total revenue through a grant from a non-government organization for the nine months ended September 30, 2021 and 2020, respectively. To date, no receivables have been written off.</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September 30, 2021 and December 31, 2020, we had a cash balance of $10.8 million and $12.6 million, respectively, all of which was maintained in bank accounts and money market funds in the U.S. Our primary exposure to market risk is to interest income volatility, which is affected by changes in the general level of interest rates. As such rates are at a near record low, a 10% change in the market interest rates would not have a material effect on our business, financial condition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conduct our business in U.S. dollars and, thus, are not exposed to financial risks from exchange rate fluctuations between the U.S. dollar and other currencies.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We have prepared our consolidated financial statements in accordance with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4"/>
          <w:szCs w:val="14"/>
          <w:color w:val="auto"/>
        </w:rPr>
        <w:t>While our significant accounting policies are described in more detail in Note 2 to our audited and unaudited condensed consolidated financial statements included in this prospectus, we believe the following accounting policies to be critical to the judgments and estimates used in the preparation of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Our revenue is primarily generated through grants from government and other (non-government) organizations.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Grant revenue is recognized for the period that the research and development services occur, as qualifying expenses are incurred or conditions of the grants are met. We concluded that payments received under these grants represent conditional, nonreciprocal contributions, as described in ASC 958, </w:t>
      </w:r>
      <w:r>
        <w:rPr>
          <w:rFonts w:ascii="Arial" w:cs="Arial" w:eastAsia="Arial" w:hAnsi="Arial"/>
          <w:sz w:val="14"/>
          <w:szCs w:val="14"/>
          <w:i w:val="1"/>
          <w:iCs w:val="1"/>
          <w:color w:val="auto"/>
        </w:rPr>
        <w:t>Not-for-Profit Entities</w:t>
      </w:r>
      <w:r>
        <w:rPr>
          <w:rFonts w:ascii="Arial" w:cs="Arial" w:eastAsia="Arial" w:hAnsi="Arial"/>
          <w:sz w:val="14"/>
          <w:szCs w:val="14"/>
          <w:color w:val="auto"/>
        </w:rPr>
        <w:t xml:space="preserve">, and that the grants are not within the scope of ASC 606,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w:t>
      </w:r>
      <w:r>
        <w:rPr>
          <w:rFonts w:ascii="Arial" w:cs="Arial" w:eastAsia="Arial" w:hAnsi="Arial"/>
          <w:sz w:val="14"/>
          <w:szCs w:val="14"/>
          <w:i w:val="1"/>
          <w:iCs w:val="1"/>
          <w:color w:val="auto"/>
        </w:rPr>
        <w:t>from Contracts with Customers</w:t>
      </w:r>
      <w:r>
        <w:rPr>
          <w:rFonts w:ascii="Arial" w:cs="Arial" w:eastAsia="Arial" w:hAnsi="Arial"/>
          <w:sz w:val="14"/>
          <w:szCs w:val="14"/>
          <w:color w:val="auto"/>
        </w:rPr>
        <w:t>, as the organizations providing the grants do not meet the definition of a customer. Expenses for grants are tracked by using a project code specific to the grant, and</w:t>
      </w:r>
      <w:r>
        <w:rPr>
          <w:rFonts w:ascii="Arial" w:cs="Arial" w:eastAsia="Arial" w:hAnsi="Arial"/>
          <w:sz w:val="14"/>
          <w:szCs w:val="14"/>
          <w:i w:val="1"/>
          <w:iCs w:val="1"/>
          <w:color w:val="auto"/>
        </w:rPr>
        <w:t xml:space="preserve"> </w:t>
      </w:r>
      <w:r>
        <w:rPr>
          <w:rFonts w:ascii="Arial" w:cs="Arial" w:eastAsia="Arial" w:hAnsi="Arial"/>
          <w:sz w:val="14"/>
          <w:szCs w:val="14"/>
          <w:color w:val="auto"/>
        </w:rPr>
        <w:t>the employees also track hours worked by using the project code.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recognize compensation cost relating to stock-based payment transactions using a fair-value measurement method, which requires all stock-based payments to employees, directors, and non-employee consultants, including grants of stock options, to be recognized in operating results as compensation expense based on fair value over the requisite service period of the awards. We hired an independent third-party valuation firm, beginning in 2017, to determine the fair value of our common stock, which we then used to determine the fair value of our stock-based awards using the Black-Scholes option-pricing model, which uses both historical and current market data to estimate fair value. The method incorporates various assumptions, such as the value of the underlying common stock, the risk-free interest rate, expected volatility, expected dividend yield and expected life of the options. For awards with performance-based vesting criteria, we estimate the probability of achievement of the performance criteria and recognizes compensation expense related to those awards expected to vest. No awards may have a term in excess of ten years. Forfeitures are recorded when they occur. Stock-based compensation expense is classified in our consolidated statements of operations based on the function to which the related services are provided. We recognize stock-based compensation expense over the expected term.</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to considering the results of the independent third-party valuations, our board of directors considered various objective and subjective factors to determine the fair value of our common shares as of each grant date, which may be a date other than the most recent independent third-party valuation date, including:</w:t>
      </w:r>
    </w:p>
    <w:p>
      <w:pPr>
        <w:spacing w:after="0" w:line="131" w:lineRule="exact"/>
        <w:rPr>
          <w:sz w:val="20"/>
          <w:szCs w:val="20"/>
          <w:color w:val="auto"/>
        </w:rPr>
      </w:pPr>
    </w:p>
    <w:p>
      <w:pPr>
        <w:ind w:left="520" w:hanging="257"/>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prices at which we most-recently sold preferred shares and the superior rights and preferences of the preferred shares relative to our common shares at the time of each grant;</w:t>
      </w:r>
    </w:p>
    <w:p>
      <w:pPr>
        <w:spacing w:after="0" w:line="193" w:lineRule="exact"/>
        <w:rPr>
          <w:rFonts w:ascii="Arial" w:cs="Arial" w:eastAsia="Arial" w:hAnsi="Arial"/>
          <w:sz w:val="13"/>
          <w:szCs w:val="13"/>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lack of liquidity of our equity as a private company;</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stage of development and business strategy and the material risks related to our business and industry;</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financial condition and operating results, including our levels of available capital resources and forecasted results;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developments in our business, including the achievement of milestones such as entering into partnering agreements;</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biopharmaceutical and healthcare technology sectors, as well as recently completed mergers and acquisitions of peer companies;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external market conditions affecting our industry, and trends within our industry;</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analysis of IPOs and the market performance of similar companies in our industry.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4" w:name="page55"/>
    <w:bookmarkEnd w:id="54"/>
    <w:p>
      <w:pPr>
        <w:jc w:val="both"/>
        <w:spacing w:after="0" w:line="271" w:lineRule="auto"/>
        <w:rPr>
          <w:sz w:val="20"/>
          <w:szCs w:val="20"/>
          <w:color w:val="auto"/>
        </w:rPr>
      </w:pPr>
      <w:r>
        <w:rPr>
          <w:rFonts w:ascii="Arial" w:cs="Arial" w:eastAsia="Arial" w:hAnsi="Arial"/>
          <w:sz w:val="14"/>
          <w:szCs w:val="14"/>
          <w:color w:val="auto"/>
        </w:rPr>
        <w:t>The assumptions underlying these valuations represented management’s best estimates, which involved inherent uncertainties and the application of management’s judgment. As a result, if factors or expected outcomes change and we use significantly different assumptions or estimates, the fair value of our common shares and our stock-based compensation expense could be materially different.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Following the completion of the merger, the fair value of our common shares will be determined based on the quoted market price of our common shares.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See Note 11 to our consolidated financial statements and Note 11 to our unaudited condensed consolidated financial statements, included in this prospectus, for information concerning certain specific assumptions we used in applying the Black-Scholes option pricing model to determine the estimated fair value of our stock options granted for the years ended December 31, 2020 and 2019, and for the nine months ended September 30, 2021 and 2020.</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Stock-based compensation expense was $1.3 million and $0.4 million for the years ended December 31, 2020 and 2019, respectively. Stock-based compensation expense was $1.7 million and $1.0 million for the nine months ended September 30, 2021 and 2020, respectively. As of September 30, 2021, we had $4.2 million of total unrecognized stock-based compensation cost related to non-vested options, which we expect to recognize in future operating results over a weighted-average period of 2.34 years.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required to periodically estimate the fair value of our common stock with the assistance of an independent third-party valuation firm, as discussed above, when issuing stock options and computing our estimated stock-based compensation expense. The assumptions underlying these valuations represented our best estimates, which involved inherent uncertainties and the application of significant levels of our judgment.</w:t>
      </w:r>
    </w:p>
    <w:p>
      <w:pPr>
        <w:spacing w:after="0" w:line="14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In order to determine the fair value of our common stock, we considered, among other items, previous transactions involving the sale of our securities, our business, financial condition and results of operations, economic and industry trends, the market performance of comparable publicly traded companies, and the lack of marketability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Liabilities and Right-of Use Assets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are party to certain contractual arrangements for equipment, lab space, and an animal facility, which meet the definition of leases under ASC 842. In accordance with ASC 842, we have, as of January 1, 2018 (the date of adoption), recorded right-of-use assets and related lease liabilities for the present value of the lease payments over the lease terms. We utilized the practical expedient regarding lease and non-lease components and have combined such items into a single combined component. Our incremental borrowing rate was used in the calculation of our right-of-use assets and lease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3 to our audited and unaudited condensed consolidated financial statements included in this prospectus.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auto"/>
        </w:rPr>
        <w:t>Impact of the COVID-19 Pandemic</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March 2020, the World Health Organization declared the outbreak of a novel coronavirus, or COVID-19, as a pandemic, which continues to spread throughout the U.S. and worldwide. As with many companies around the world, our day-to-day operations were disrupted with the imposition of work from home policies and requirements for physical distancing for any personnel present in our offices and laboratories. The pandemic has also disrupted our activities as shelter-in-place orders, quarantines, supply chain disruptions, travel restrictions and other public health safety measures have impacted our ability to interact with our existing and potential partners for our activities. However, the COVID-19 pandemic did not materially impact our business, operating results or financial condition, and is not F/S say that it is uncertain about the future. There is significant uncertainty as to the trajectory of the pandemic and its impacts on our business in the future. We could be materially and adversely affected by the risks, or the public perception of the risks, related to the COVID-19 pandemic or similar public health crises. Such crises could adversely impact our ability to conduct on-site laboratory activities, expand our laboratory facilities, secure critical supplies such as reagents, laboratory tools or immunized animals required for discovery research activities, and hire and retain key personnel.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will be affected. We remain focused on maintaining our operations, liquidity and financial flexibility and continue to monitor developments as we deal with the disruptions and uncertainties from the COVID-19 pandemic.</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qualify as an “emerging growth company” as defined in the JOBS Act. An emerging growth company may take advantage of reduced reporting requirements that are not otherwise applicable to public companies. These provisions include, but are not limited to:</w:t>
      </w:r>
    </w:p>
    <w:p>
      <w:pPr>
        <w:spacing w:after="0" w:line="131" w:lineRule="exact"/>
        <w:rPr>
          <w:sz w:val="20"/>
          <w:szCs w:val="20"/>
          <w:color w:val="auto"/>
        </w:rPr>
      </w:pPr>
    </w:p>
    <w:p>
      <w:pPr>
        <w:ind w:left="520" w:hanging="257"/>
        <w:spacing w:after="0" w:line="286"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being permitted to present only two years of audited financial statements and only two years of related Management’s Discussion and Analysis of Financial Condition and Results of Operations in this prospectus;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on the effectiveness of our internal controls over financial reporting;</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being required to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arrangements;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exemptions from the requirements of holding a nonbinding advisory vote on executive compensation and stockholder approval of any golden parachute payments not previously approved.</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use these provisions until the last day of our fiscal year in which the fifth anniversary of the completion of our initial public offering occurred.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shareholders may be different than the information you receive from other public companies in which you hold stock.</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BUSINESS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a clinical-stage biopharmaceutical company advancing a powerful new class of immunotherapeutic human antibodies (also called immunoglobulins). Our novel DiversitAb™ Immunotherapy platform, based on the power of the human immune system, has the unique capability to generate specifically targeted, high-potency, fully-human polyclonal antibodies without the need for human donors.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SAB has applied advanced genetic engineering and antibody science to develop transchromosomic (Tc) Bovine™ (cows) that produce fully human antibodies targeted to specific diseases, including infectious diseases such as COVID-19 and influenza, immune system disorders including type 1 diabetes and organ transplantation, and cancer. This technology and scaled system have been refined, optimized and de-risked over two decades. The Company’s versatile and scalable DiversitAb™ platform is applicable to a wide range of human diseases, capable of producing specifically targeted, high-potency immunotherapies.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platform has been expanded and validated through funding awarded from U.S. government emerging disease and medical countermeasures programs, totaling more than $203.6 million since March of 2020. The Company is advancing clinical programs in two indications and preclinical development in two indications. In addition, the Company is executing on two discovery stage research collaborations with global pharmaceutical companies, including CSL Behring and a confidential collaboration.</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Since its founding in 2014, the Company has generated revenue from government awards and commercial agreements that have provided for proof-of-concept and demonstrated consistency of outcomes across more than a dozen development programs. In addition, the Company has generated substantial results from government, academic and commercial collaborators, including testing, process development and optimization, nonclinical and clinical testing for multiple, distinct product candidates in infectious disease, oncology and immune system disorders.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Leveraging this proprietary platform and suite of technologies, enables us to address novel and complex targets and expand the therapeutic potential of our product candidates, and address emerging health threats. We are focused on developing product candidates with the potential for first-in-class opportunity against novel targets or best-in-class against known, but complex, targets to treat diseases with a significant unmet medical need.</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Together with our antibody discovery and development expertise, this platform has enabled our pipeline of four product candidates. Two of our product candidates have achieved clinical proof-of-concept, one of which currently being evaluated in an ongoing Phase 3 clinical trial.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Model: Multi-Pronged Business Strategy</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have a well-established system for integrating developmental milestones, enabling the company to generate SAB-owned assets from concept to clinical proof-of-concept. SAB can leverage its platform both as a therapeutic discovery engine and to move its own products through concept, discovery, development and clinical proof-of-concept to build value in the products and the platform. Our team has extensive experience with all aspects of the platform, including animal and product development, manufacturing, Investigational New Drug (IND)-enabling studies, and clinical trial oversight. Continuous innovation and vertical integration support the Company’s opportunities to take products from concept through Phase 3 clinical trials with the company operation as it exists today.</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Product Development of Pipeline Assets</w:t>
      </w:r>
    </w:p>
    <w:p>
      <w:pPr>
        <w:spacing w:after="0" w:line="182" w:lineRule="exact"/>
        <w:rPr>
          <w:sz w:val="20"/>
          <w:szCs w:val="20"/>
          <w:color w:val="auto"/>
        </w:rPr>
      </w:pPr>
    </w:p>
    <w:p>
      <w:pPr>
        <w:jc w:val="both"/>
        <w:ind w:left="520"/>
        <w:spacing w:after="0" w:line="288" w:lineRule="auto"/>
        <w:rPr>
          <w:sz w:val="20"/>
          <w:szCs w:val="20"/>
          <w:color w:val="auto"/>
        </w:rPr>
      </w:pPr>
      <w:r>
        <w:rPr>
          <w:rFonts w:ascii="Arial" w:cs="Arial" w:eastAsia="Arial" w:hAnsi="Arial"/>
          <w:sz w:val="13"/>
          <w:szCs w:val="13"/>
          <w:color w:val="auto"/>
        </w:rPr>
        <w:t xml:space="preserve">The unique capabilities of our therapeutic engine have enabled the development of a new class of antibody immunotherapies with the potential to access commercial markets with novel therapies and address unmet medical needs in infectious disease, immune system disorders, and oncology. The Company has demonstrated clinical safety as a result of no drug-related serious adverse events (SAEs) to date in multiple clinical studies, shown efficacy signals in a single patient Phase 1 safety study and validated its platform technology with nonclinical data showing neutralization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for highly mutating infectious diseases. The Company continues to advance its wholly owned R&amp;D portfolio across multiple therapeutic areas including one product in an ongoing Phase 3 trial for COVID-19 and a product completing a Phase 2a Challenge Study for seasonal influenza.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color w:val="auto"/>
        </w:rPr>
        <w:t>Industry Partnering &amp; Research Collaborations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company is leveraging this capability in ongoing research collaborations with the United States government and global pharma firms. The DiversitAb™ platform, leveraging the human antibody-generating transchromosomic (Tc) bovine, offers advantages in consistent antibody discovery and development. Precise targeting of the immune response of the Tc Bovine™ elicits a large volume of human antibodies with potential for greater diversity and higher avidity than other animal-based discovery platforms or human plasma donors.</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One aspect of our business model is focused on bringing products through valuable inflection points and partnering those products with companies that have demonstrated capabilities to commercialize such products. This partnering will seek to balance near-term and long-term monetization and is expected in general to follow accepted industry norms for partnerships, collaborations and economic benefit. These potential agreements may be focused on a single asset, a group of specified or unspecified assets, or a category of asset types. Our business analysis includes consideration of all product and market characteristics to determine the optimum path to commercializing our products and maximizing shareholder value.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States Government Rapid Response Biodefense &amp; Public Health Security</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In addition to commercial and academic research collaborations, we have a well-developed history of collaboration with the U.S. government, including divisions of the Department of Defense (DOD), including Joint Program Executive Office for Chemical, Biological, Radiological and Nuclear Defense Enabling Biotechnologies (JPEO CBRND-EB), the Naval Medical Research Center (NMRC), the Defense Threat Reduction Agency (DTRA), U.S. Army Medical Research Institute of Infectious Disease (USAMRIID), the Defense Health Authority (DHA), the Army Contracting Command, and agencies within the Department of Health and Human Services (HHS), such as the Food and Drug Administration (FDA), the Biomedical Advanced Research and Development Authority (BARDA), and the National Institutes of Health (NIH) including the National Institute of Allergy and Infectious Diseases (NIAID). From its founding in 2014, the Company has secured substantial funding through these collaborations. It has also generated significant data and positive results through collaboration partners, including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testing, human clinical trial sponsorships and results, process development, quality systems, product development optimization and process validation.</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Since 2014, the Company has demonstrated consistent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of its products in more than a dozen targets as part of grants, contracts and other in-kind work including its first Phase 1 safety trial for Middle East Respiratory Syndrome Coronavirus (MERS-CoV) in January of 2018.</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2019, the Company proposed a Rapid Response Antibody Program to the DoD JPEO CBRND-EB as part of a stepped competitive process and initially was awarded up to $27 million in a progressive and competitive three-stage agreement calling for the development of a state-of-the-art, pharmaceutical platform technology that could produce antibody-based medical countermeasures for biological threats to accelerate the delivery of potent, fully human, antibody therapeutics.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When the COVID-19 pandemic struck in early 2020, the agreement was expanded and a Stage 4 “COVID-19 Pandemic Response,” was awarded in April of 2020, with subsequent expansions of the Stage 4 scope and budget through 2020, including additional support from BARDA. The expanded award for the Company’s Rapid Response Antibody Program and COVID-19 Pandemic Response currently totals up to approximately $203.6 million, and has helped the Company to develop, expand and validate its assets and capabilities.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experience with COVID-19 Pandemic Response has enabled demonstration of proof-of-concept across all elements of the operation. We were able to generate product concept, initiate development, the proof-of-principle, the IND application, the Phase 1 clinical safety data, and the entry into a late-stage safety and efficacy trials within approximately one year. We plan to continue to build overall platform value by optimizing integrated elements, which include antigen development and production, animal and plasma production, drug manufacturing, clinical safety, human efficacy, increases in human resources and physical facilities capabilities (including expanded labs, animal management and clean room purification facilities), clinical and regulatory management and oversight, an expanded patent portfolio, and product targets demonstrating capability in addressing unmet needs in infectious disease, immune system disorders and oncology.</w:t>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13335</wp:posOffset>
            </wp:positionV>
            <wp:extent cx="716026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0760"/>
          </w:cols>
          <w:pgMar w:left="820" w:top="579" w:right="319" w:bottom="1440" w:gutter="0" w:footer="0" w:header="0"/>
        </w:sectPr>
      </w:pPr>
    </w:p>
    <w:bookmarkStart w:id="58" w:name="page59"/>
    <w:bookmarkEnd w:id="58"/>
    <w:p>
      <w:pPr>
        <w:jc w:val="both"/>
        <w:ind w:left="520"/>
        <w:spacing w:after="0" w:line="271" w:lineRule="auto"/>
        <w:rPr>
          <w:sz w:val="20"/>
          <w:szCs w:val="20"/>
          <w:color w:val="auto"/>
        </w:rPr>
      </w:pPr>
      <w:r>
        <w:rPr>
          <w:rFonts w:ascii="Arial" w:cs="Arial" w:eastAsia="Arial" w:hAnsi="Arial"/>
          <w:sz w:val="14"/>
          <w:szCs w:val="14"/>
          <w:color w:val="auto"/>
        </w:rPr>
        <w:t>The Company’s DiversitAb™ platform was recognized by the World Health Organization as the best therapeutic platform to address priority pathogens with pandemic potential in a report entitled “Research and Development Blueprint” a global strategy and preparedness plan that supports the rapid activation of R&amp;D activities that could be used to save lives and avert large-scale crisis during epidemics.</w:t>
      </w:r>
    </w:p>
    <w:p>
      <w:pPr>
        <w:spacing w:after="0" w:line="141"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We plan to continue to our relationship with the U.S. government to both deploy and further develop and expand our Rapid Response Antibody Program as well as other need-driven initiatives in biodefense and ongoing global public health security, such as pandemic readiness and response.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Platform and Solutions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DiversitAb</w:t>
      </w:r>
      <w:r>
        <w:rPr>
          <w:rFonts w:ascii="Arial" w:cs="Arial" w:eastAsia="Arial" w:hAnsi="Arial"/>
          <w:sz w:val="23"/>
          <w:szCs w:val="23"/>
          <w:i w:val="1"/>
          <w:iCs w:val="1"/>
          <w:color w:val="auto"/>
          <w:vertAlign w:val="superscript"/>
        </w:rPr>
        <w:t>TM</w:t>
      </w:r>
      <w:r>
        <w:rPr>
          <w:rFonts w:ascii="Arial" w:cs="Arial" w:eastAsia="Arial" w:hAnsi="Arial"/>
          <w:sz w:val="14"/>
          <w:szCs w:val="14"/>
          <w:i w:val="1"/>
          <w:iCs w:val="1"/>
          <w:color w:val="auto"/>
        </w:rPr>
        <w:t xml:space="preserve"> Platform</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DiversitAb™ immunotherapy platform enables the unique ability to generate targeted, fully human, natural, polyclonal antibodies without the need for human donors or serum. These diverse and high potency antibodies can be targeted to viruses, bacteria, toxins and human antigen targets. Our proprietary DiversitAb</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platform relies on advanced genetic engineering that functionally eliminates the production of bovine antibodies and replaces them with human antibodies produced from the full germ-line repertoire of human antibody heavy chain and kappa light chain genes on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an engineered human artificial chromosome (“HAC”). The animals are thus referred to as transchromosomic (Tc) Bovine</w:t>
      </w:r>
      <w:r>
        <w:rPr>
          <w:rFonts w:ascii="Arial" w:cs="Arial" w:eastAsia="Arial" w:hAnsi="Arial"/>
          <w:sz w:val="23"/>
          <w:szCs w:val="23"/>
          <w:color w:val="auto"/>
          <w:vertAlign w:val="superscript"/>
        </w:rPr>
        <w:t>TM</w:t>
      </w:r>
      <w:r>
        <w:rPr>
          <w:rFonts w:ascii="Arial" w:cs="Arial" w:eastAsia="Arial" w:hAnsi="Arial"/>
          <w:sz w:val="14"/>
          <w:szCs w:val="14"/>
          <w:color w:val="auto"/>
        </w:rPr>
        <w:t>. The human antibody genes have been further engineered in such a way to efficiently produce a diverse repertoire of human immunoglobulin G (IgG) in bovine B-cells in response to challenge with specifically targeted antigens through hyperimmunization of the Tc Bovine™. Bovine were selected because they are large animals that produce large amounts of plasma with high concentrations of antibodies and respond effectively to antigen challenge by producing high potency, high avidity polyclonal antibodies, also known as human immunoglobulins.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novel capability of the DiversitAb™ platform in harnessing the natural human biological immune response makes it well-suited to address several immune system disorders, presenting potential opportunities for new therapies to address unmet medical needs. The DiversitAb</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platform can generate highly targeted human polyclonal antibodies to multiple antigens. Because the antibodies are polyclonal, they include multiple antibodies to multiple epitopes on each antigen, generating an immune response that resembles the natural way that our bodies fight disease.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Genetically Engineered Therapeutic Engine Leveraging Natural Human Immune Response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Through its DiversitAb™ platform the Company has engineered a systematic therapeutic engine that emulates the way that nature synergistically targets the complexity of human disease.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discovery, development and production process represent a “plug-and-play” approach:</w:t>
      </w:r>
    </w:p>
    <w:p>
      <w:pPr>
        <w:spacing w:after="0" w:line="182" w:lineRule="exact"/>
        <w:rPr>
          <w:sz w:val="20"/>
          <w:szCs w:val="20"/>
          <w:color w:val="auto"/>
        </w:rPr>
      </w:pPr>
    </w:p>
    <w:p>
      <w:pPr>
        <w:ind w:left="780" w:hanging="259"/>
        <w:spacing w:after="0" w:line="263"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Antigen is developed for a specific target. The platform is designed to address virtually any target including bacteria (whole killed), viruses, toxins, plasmid DNA, cells, and human tissues.</w:t>
      </w:r>
    </w:p>
    <w:p>
      <w:pPr>
        <w:ind w:left="780" w:hanging="259"/>
        <w:spacing w:after="0" w:line="255"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transchromosomic (Tc) Bovine™, genetically engineered to produce fully human antibodies, are then hyperimmunized with the antigen, driving the immune response beyond protective levels.</w:t>
      </w:r>
    </w:p>
    <w:p>
      <w:pPr>
        <w:spacing w:after="0" w:line="1" w:lineRule="exact"/>
        <w:rPr>
          <w:rFonts w:ascii="Arial" w:cs="Arial" w:eastAsia="Arial" w:hAnsi="Arial"/>
          <w:sz w:val="14"/>
          <w:szCs w:val="14"/>
          <w:color w:val="auto"/>
        </w:rPr>
      </w:pPr>
    </w:p>
    <w:p>
      <w:pPr>
        <w:ind w:left="780" w:hanging="259"/>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target specific human antibodies are collected from the Tc Bovine™ as plasma donations.</w:t>
      </w:r>
    </w:p>
    <w:p>
      <w:pPr>
        <w:spacing w:after="0" w:line="10" w:lineRule="exact"/>
        <w:rPr>
          <w:rFonts w:ascii="Arial" w:cs="Arial" w:eastAsia="Arial" w:hAnsi="Arial"/>
          <w:sz w:val="14"/>
          <w:szCs w:val="14"/>
          <w:color w:val="auto"/>
        </w:rPr>
      </w:pPr>
    </w:p>
    <w:p>
      <w:pPr>
        <w:ind w:left="780" w:hanging="259"/>
        <w:spacing w:after="0"/>
        <w:tabs>
          <w:tab w:leader="none" w:pos="7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Human antibodies are then isolated from the plasma through a plasma fractionation process and after several testing steps becomes a human immunotherapy treatment or prophylactic.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4"/>
          <w:szCs w:val="14"/>
          <w:color w:val="auto"/>
        </w:rPr>
        <w:t>The following graphic depicts the main elements of product development and manufacturing that the Company wholly owns and can produce in SAB-owned facilities, which allows it to advance candidates into clinical studies and be opportunistic about when and how to partner each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90170</wp:posOffset>
            </wp:positionV>
            <wp:extent cx="4565015" cy="1546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65015"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vertically integrated the platform technology across a significant series of value inflection points. Capabilities include advanced animal reproduction methods (cloning) to produce Tc Bovine™, animal husbandry, animal vaccine development, plasma collection, plasma purification, drug substance manufacturing and product fill/finish, nonclinical and clinical study management, quality assurance, quality control, regulatory compliance and program collaboration. The Company has built a broad-based network of third-party collaborators, service providers, vendors, consultants and government partners that can help support each of these vertically integrated activities.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its antibody development and manufacturing operation, the Company has developed the capability to design and produce antigens in-house for use in the hyperimmunization protocols of Tc Bovine™. This allows SAB to retain the option to advance specific proprietary programs for reagent antibodies used in infectious disease diagnostic testing as standards and controls that are derived from those antigens, subject to corporate goals and priorities, market demand and potential profitability.</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DiversitAb</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platform is replicable and scalable. Targeted human antibodies can be produced to the same antigens or multiple antigens in as many animals as necessary to generate sufficient doses of any target product. Scalability is secured by adding more animals that are hyperimmunized and produce more plasma. Downstream processing primarily involves plasma fractionation to purify human IgG from all other plasma proteins to meet product specifications. Consistency of product is achieved by testing the potency of antibodies contained in each plasma collection and then combining plasma collections in a manufacturing pool that generates specified potencies within a specified antibody protein concentration.</w:t>
      </w:r>
    </w:p>
    <w:p>
      <w:pPr>
        <w:spacing w:after="0" w:line="155" w:lineRule="exact"/>
        <w:rPr>
          <w:sz w:val="20"/>
          <w:szCs w:val="20"/>
          <w:color w:val="auto"/>
        </w:rPr>
      </w:pPr>
    </w:p>
    <w:p>
      <w:pPr>
        <w:jc w:val="both"/>
        <w:spacing w:after="0" w:line="216" w:lineRule="auto"/>
        <w:rPr>
          <w:sz w:val="20"/>
          <w:szCs w:val="20"/>
          <w:color w:val="auto"/>
        </w:rPr>
      </w:pPr>
      <w:r>
        <w:rPr>
          <w:rFonts w:ascii="Arial" w:cs="Arial" w:eastAsia="Arial" w:hAnsi="Arial"/>
          <w:sz w:val="14"/>
          <w:szCs w:val="14"/>
          <w:color w:val="auto"/>
        </w:rPr>
        <w:t>Target immunotherapy production of early proof-of-concept and initial clinical lots using the DiversitAb</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platform technology have been generated by SAB in as little as 90 days, including the conduct of IND-enabling studies, while responding to the emerging COVID-19 pandemic.</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Milestones and Timeline: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We have achieved multiple recent milestones and expect to achieve multiple additional catalysts through year end 2022:</w:t>
      </w:r>
    </w:p>
    <w:p>
      <w:pPr>
        <w:spacing w:after="0" w:line="160" w:lineRule="exact"/>
        <w:rPr>
          <w:sz w:val="20"/>
          <w:szCs w:val="20"/>
          <w:color w:val="auto"/>
        </w:rPr>
      </w:pPr>
    </w:p>
    <w:p>
      <w:pPr>
        <w:ind w:left="520" w:hanging="257"/>
        <w:spacing w:after="0"/>
        <w:tabs>
          <w:tab w:leader="none" w:pos="520" w:val="left"/>
        </w:tabs>
        <w:numPr>
          <w:ilvl w:val="0"/>
          <w:numId w:val="26"/>
        </w:numPr>
        <w:rPr>
          <w:rFonts w:ascii="Arial" w:cs="Arial" w:eastAsia="Arial" w:hAnsi="Arial"/>
          <w:sz w:val="29"/>
          <w:szCs w:val="29"/>
          <w:color w:val="auto"/>
          <w:vertAlign w:val="superscript"/>
        </w:rPr>
      </w:pPr>
      <w:r>
        <w:rPr>
          <w:rFonts w:ascii="Arial" w:cs="Arial" w:eastAsia="Arial" w:hAnsi="Arial"/>
          <w:sz w:val="14"/>
          <w:szCs w:val="14"/>
          <w:color w:val="auto"/>
        </w:rPr>
        <w:t>Established proof-of-concept for DiversitAb</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platform</w:t>
      </w:r>
    </w:p>
    <w:p>
      <w:pPr>
        <w:spacing w:after="0" w:line="64" w:lineRule="exact"/>
        <w:rPr>
          <w:rFonts w:ascii="Arial" w:cs="Arial" w:eastAsia="Arial" w:hAnsi="Arial"/>
          <w:sz w:val="29"/>
          <w:szCs w:val="29"/>
          <w:color w:val="auto"/>
          <w:vertAlign w:val="superscript"/>
        </w:rPr>
      </w:pPr>
    </w:p>
    <w:p>
      <w:pPr>
        <w:ind w:left="520" w:hanging="257"/>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Fully enrolled Phase 2a Challenge Trial for SAB-176 (seasonal influenza)</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Advanced to Phase 3 of NIH-Sponsored ACTIV-2 Trial based upon DSMB at interim analysis for SAB-185 (COVID-19)</w:t>
      </w:r>
    </w:p>
    <w:p>
      <w:pPr>
        <w:spacing w:after="0" w:line="182" w:lineRule="exact"/>
        <w:rPr>
          <w:rFonts w:ascii="Arial" w:cs="Arial" w:eastAsia="Arial" w:hAnsi="Arial"/>
          <w:sz w:val="14"/>
          <w:szCs w:val="14"/>
          <w:color w:val="auto"/>
        </w:rPr>
      </w:pPr>
    </w:p>
    <w:p>
      <w:pPr>
        <w:ind w:left="5580" w:right="2320" w:hanging="5317"/>
        <w:spacing w:after="0" w:line="574" w:lineRule="auto"/>
        <w:tabs>
          <w:tab w:leader="none" w:pos="528"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Announced Topline Data Demonstrating SAB-176 Met its Primary Endpoint in a Phase 2a Challenge Study in Adults Infected with Influenza Virus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6026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0" w:name="page61"/>
    <w:bookmarkEnd w:id="60"/>
    <w:p>
      <w:pPr>
        <w:ind w:left="520" w:hanging="257"/>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1Q2022–IND-enabling studies expected to begin for SAB-142 (transplant and type 1 diabetes)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2Q2022–Phase 2 trial expected to begin for SAB-176 (seasonal influenza)</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1H2022–Proof-of-concept data expected for discovery immuno-oncology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Pipeline Programs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platform technology-based company, SAB has multiple opportunities to generate individual products and multivalent products targeted to a variety of disease types and disease targets within related categories. As such, the Company is pursuing programs that have discrete market opportunities and establish important proof-of-principle for the target category (such as viral respiratory disease), or for broader categories such as infectious disease, oncology or immune system disorder targets.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are advancing a robust pipeline of differentiated antibody-based therapies for the treatment of infectious disease, and severe autoimmune diseases. Leveraging our novel immunotherapy platform and suite of technologies, we’ve focused on developing product candidates, where we believe a differentiated human polyclonal approach has the greatest potential to be either first-in-class against novel targets or best-in-class against known, but complex, targets to treat diseases with a significant unmet medical need. The following summarizes our current pipeline assets: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SAB Biotherapeutics, Inc.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122555</wp:posOffset>
            </wp:positionV>
            <wp:extent cx="4565015" cy="1492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6501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Infectious Disease</w:t>
      </w:r>
      <w:r>
        <w:rPr>
          <w:rFonts w:ascii="Arial" w:cs="Arial" w:eastAsia="Arial" w:hAnsi="Arial"/>
          <w:sz w:val="14"/>
          <w:szCs w:val="14"/>
          <w:color w:val="auto"/>
        </w:rPr>
        <w:t>: The unique attributes of the DiversitAb™ platform, including the ability to simultaneously address multiple strains, drive high potencies and address mutations, are especially</w:t>
      </w:r>
      <w:r>
        <w:rPr>
          <w:rFonts w:ascii="Arial" w:cs="Arial" w:eastAsia="Arial" w:hAnsi="Arial"/>
          <w:sz w:val="14"/>
          <w:szCs w:val="14"/>
          <w:i w:val="1"/>
          <w:iCs w:val="1"/>
          <w:color w:val="auto"/>
        </w:rPr>
        <w:t xml:space="preserve"> </w:t>
      </w:r>
      <w:r>
        <w:rPr>
          <w:rFonts w:ascii="Arial" w:cs="Arial" w:eastAsia="Arial" w:hAnsi="Arial"/>
          <w:sz w:val="14"/>
          <w:szCs w:val="14"/>
          <w:color w:val="auto"/>
        </w:rPr>
        <w:t>relevant for infectious diseases. As the most advanced SAB product category, infectious disease represents a major grouping of unmet, or poorly met, needs in both the therapeutic treatment and prophylactic markets. SAB has two major projects underway: SAB-185, an anti-COVID-19 human polyclonal antibody therapeutic candidate in an ongoing Phase 3 clinical trial, and SAB-176, an anti-influenza A &amp; B human polyclonal antibody therapeutic candidate that is currently in a Phase 2a Challenge study.</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Auto-Immune Disorders</w:t>
      </w:r>
      <w:r>
        <w:rPr>
          <w:rFonts w:ascii="Arial" w:cs="Arial" w:eastAsia="Arial" w:hAnsi="Arial"/>
          <w:sz w:val="14"/>
          <w:szCs w:val="14"/>
          <w:color w:val="auto"/>
        </w:rPr>
        <w:t>:</w:t>
      </w:r>
      <w:r>
        <w:rPr>
          <w:rFonts w:ascii="Arial" w:cs="Arial" w:eastAsia="Arial" w:hAnsi="Arial"/>
          <w:sz w:val="14"/>
          <w:szCs w:val="14"/>
          <w:i w:val="1"/>
          <w:iCs w:val="1"/>
          <w:color w:val="auto"/>
        </w:rPr>
        <w:t xml:space="preserve"> In-vitro </w:t>
      </w:r>
      <w:r>
        <w:rPr>
          <w:rFonts w:ascii="Arial" w:cs="Arial" w:eastAsia="Arial" w:hAnsi="Arial"/>
          <w:sz w:val="14"/>
          <w:szCs w:val="14"/>
          <w:color w:val="auto"/>
        </w:rPr>
        <w:t>pre-clinical studies have been completed for SAB-142 to enable both Type-1 Diabetes and Transplant indications for safety and potency and</w:t>
      </w:r>
      <w:r>
        <w:rPr>
          <w:rFonts w:ascii="Arial" w:cs="Arial" w:eastAsia="Arial" w:hAnsi="Arial"/>
          <w:sz w:val="14"/>
          <w:szCs w:val="14"/>
          <w:i w:val="1"/>
          <w:iCs w:val="1"/>
          <w:color w:val="auto"/>
        </w:rPr>
        <w:t xml:space="preserve"> in-vivo </w:t>
      </w:r>
      <w:r>
        <w:rPr>
          <w:rFonts w:ascii="Arial" w:cs="Arial" w:eastAsia="Arial" w:hAnsi="Arial"/>
          <w:sz w:val="14"/>
          <w:szCs w:val="14"/>
          <w:color w:val="auto"/>
        </w:rPr>
        <w:t>studies are</w:t>
      </w:r>
      <w:r>
        <w:rPr>
          <w:rFonts w:ascii="Arial" w:cs="Arial" w:eastAsia="Arial" w:hAnsi="Arial"/>
          <w:sz w:val="14"/>
          <w:szCs w:val="14"/>
          <w:i w:val="1"/>
          <w:iCs w:val="1"/>
          <w:color w:val="auto"/>
        </w:rPr>
        <w:t xml:space="preserve"> </w:t>
      </w:r>
      <w:r>
        <w:rPr>
          <w:rFonts w:ascii="Arial" w:cs="Arial" w:eastAsia="Arial" w:hAnsi="Arial"/>
          <w:sz w:val="14"/>
          <w:szCs w:val="14"/>
          <w:color w:val="auto"/>
        </w:rPr>
        <w:t>scheduled to begin in 1Q 2022.</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SAB-185 (</w:t>
      </w:r>
      <w:r>
        <w:rPr>
          <w:rFonts w:ascii="Arial" w:cs="Arial" w:eastAsia="Arial" w:hAnsi="Arial"/>
          <w:sz w:val="14"/>
          <w:szCs w:val="14"/>
          <w:color w:val="auto"/>
        </w:rPr>
        <w:t>COVID-19)</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SAB-185 is a fully human, specifically targeted, highly potent, and broadly neutralizing human polyclonal antibody therapeutic candidate for COVID-19. It was developed in collaboration with the US government using SAB’s novel proprietary DiversitAb™ Rapid Response Antibody Program, as part of the Countermeasures Acceleration Group, formerly Operation Warp Speed. SAB filed the IND application and produced the initial clinical doses in just 98 days from program initiation. SAB-185 was designed and developed without the need for human convalescent plasma or human B-cell donations. The SAB-185 program aims to address the urgent need for readily accessible, safe and efficacious therapies to treat COVID-19 and provides an important response model for future threats.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601" w:right="319" w:bottom="1440" w:gutter="0" w:footer="0" w:header="0"/>
        </w:sectPr>
      </w:pPr>
    </w:p>
    <w:bookmarkStart w:id="61" w:name="page62"/>
    <w:bookmarkEnd w:id="61"/>
    <w:p>
      <w:pPr>
        <w:jc w:val="both"/>
        <w:spacing w:after="0" w:line="286" w:lineRule="auto"/>
        <w:rPr>
          <w:sz w:val="20"/>
          <w:szCs w:val="20"/>
          <w:color w:val="auto"/>
        </w:rPr>
      </w:pPr>
      <w:r>
        <w:rPr>
          <w:rFonts w:ascii="Arial" w:cs="Arial" w:eastAsia="Arial" w:hAnsi="Arial"/>
          <w:sz w:val="14"/>
          <w:szCs w:val="14"/>
          <w:color w:val="auto"/>
        </w:rPr>
        <w:t>SAB-185, generated from the full-length spike protein of the SARS-CoV-2 Wuhan strain, has shown neutralization of the Munich, Washington, South African, Delta, Lambda and other variant strains in preclinical and nonclinical studies. Preclinical data has also shown SAB-185 to be significantly more potent than human-derived COVID-19 convalescent IgG.</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SAB-185 was assessed in IND-enabling studies including Good Laboratory Practice (GLP) toxicology and tissue cross reactivity studies. The results were submitted to the FDA for review as part of the IND request. The FDA authorized SAB Biotherapeutics to initiate a Phase 1 trial in healthy adults and a Phase 1b trial in ambulatory adults with confirmed SARS-CoV-2 infection.</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Phase 1 study was a randomized, double-blind, placebo-controlled study of four cohorts at dose levels of 10 mg/kg, 25 mg/kg, 25 mg/kg on two occasions, or 50 mg/kg of SAB-185, or normal saline. All subjects have concluded their participation. A description of this study can be found at the ClinicalTrials.gov website under the identification code of NCT04468958. The primary endpoint(s) were the incidence and severity of adverse events and SAEs or transfusion-related adverse events at day 29. Secondary endpoints included the incidence and severity of adverse events and SAEs through day 90, among others. A Data Safety and Monitoring Board (DSMB) monitored adverse events after each cohort was infused. They recommended that each later cohort could be infused with the next highest dose according to the study protocol. No SAB-185-related SAEs were identified by the DSMB, though some adverse events were noted in both the SAB-185 and placebo participants. Interim aggregate data from the 10mg/kg and 25mg/kg cohorts from this study, including safety data, was submitted to the FDA. After receiving this data, the FDA allowed SAB-185 to progress into an adaptive COVID-19 Phase 2/3 conducted by the National Institute of Allergy and Infectious Diseases (NCT04518410). A final study report is being prepared by the contract research organization (CRO) that conducted the Phase 1 study.</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SAB-185 Phase 1b trial was a randomized, double-blind, placebo-controlled study of three cohorts at dose levels of 10, 25 or 50 mg/kg of SAB-185 or normal saline. All subjects have concluded their participation. A description of this study can be found at the ClinicalTrials.gov website under the identification code NCT04469179. The primary endpoint(s) were the incidence and severity of adverse events and SAEs or transfusion-related adverse events at day 29. Secondary endpoints included the incidence and severity of adverse events and SAEs through day 90 and measurement of SARS-CoV-2 quantitative reverse transcriptase polymerase chain reaction (qRT-PCR) results of the naso/oropharynx at various times. The DSMB monitored adverse events after each cohort was infused and recommended that each later cohort could be infused with the next highest dose according to the study protocol. No SAB-185-related SAEs were identified by the DSMB though adverse events were noted in both the SAB-185 and placebo participants. Interim aggregate data from the 10mg/kg and 25mg/kg cohorts from this study, including safety data, was submitted to the FDA. The FDA allowed SAB-185 to progress into an adaptive COVID-19 Phase 2 as part of the ACTIV-2 protocol, conducted by the National Institute of Allergy and Infectious Diseases. A final study report is being prepared by the CRO that conducted the Phase 1b study.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SAB-185 was accepted for inclusion in ACTIV-2 and cleared for participation by the FDA.</w:t>
      </w:r>
    </w:p>
    <w:p>
      <w:pPr>
        <w:spacing w:after="0" w:line="182"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The Phase 2 portion of the trial for SAB-185 began in the second quarter of 2021. ACTIV-2 is a COVID-19 master protocol sponsored and funded by the NIH, in collaboration with the AIDS Clinical Trials Group, that calls for an adaptive design Phase 2/3 trial. The Phase 2 trial is in ambulatory patients, with 110 participants in each of two cohorts, and a control group.</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September, we announced that an independent Data Safety Monitoring Board (DSMB) had completed its prespecified interim analysis data review of the safety and efficacy of SAB-185 in the Phase 2 portion of the ACTIV-2 trial and recommended advancement to Phase 3 based on meeting pre-defined graduation criteria.</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Both the low and high doses of SAB-185 tested in Phase 2 met the pre-defined efficacy goal for advancement to Phase 3 and appeared safe at the interim analysis. NIAID and SAB researchers are finalizing the preferred dose to assess in Phase 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2" w:name="page63"/>
    <w:bookmarkEnd w:id="62"/>
    <w:p>
      <w:pPr>
        <w:jc w:val="both"/>
        <w:spacing w:after="0" w:line="266" w:lineRule="auto"/>
        <w:rPr>
          <w:sz w:val="20"/>
          <w:szCs w:val="20"/>
          <w:color w:val="auto"/>
        </w:rPr>
      </w:pPr>
      <w:r>
        <w:rPr>
          <w:rFonts w:ascii="Arial" w:cs="Arial" w:eastAsia="Arial" w:hAnsi="Arial"/>
          <w:sz w:val="14"/>
          <w:szCs w:val="14"/>
          <w:color w:val="auto"/>
        </w:rPr>
        <w:t>The Phase 3 portion of the ACTIV-2 trial is a randomized, unblinded, active comparator-controlled adaptive platform study that will assess the clinical safety and efficacy of SAB-185 compared to active control monoclonal antibody treatment in people with mild to moderate COVID-19 who are at higher risk for progression to hospitalization, enrolling approximately 600 participants to receive the investigational agent SAB-185 and 600 to receive an active comparator. The primary outcome measures of the Phase 3 trial will include safety and non-inferiority for the prevention of a composite endpoint of either hospitalization or death from any cause through study day 28.</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More information on the Phase 3 trial can be found at the clinicaltrials.gov website (Identifier: NCT04518410). Assessment of SAB-186 in the Phase 3 trial is ongoing with more than 100 sites having been activated, including Ex-US and more than 25 sites currently enrolling.</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Route of administration is also an important component of the ability to access specific markets, and the Company is pursuing the development of alternate routes of administration as an expansion of its market reach. These include intravenous (IV), intramuscular (IM), and sub-cutaneous (SC) administration methods.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SAB-176 </w:t>
      </w:r>
      <w:r>
        <w:rPr>
          <w:rFonts w:ascii="Arial" w:cs="Arial" w:eastAsia="Arial" w:hAnsi="Arial"/>
          <w:sz w:val="14"/>
          <w:szCs w:val="14"/>
          <w:color w:val="auto"/>
        </w:rPr>
        <w:t>(Severe Influenza):</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 its substantial health and economic impacts and hundreds of thousands of hospitalizations and tens of thousands of deaths annually in the U.S. alone, seasonal influenza represents a major health challenge. More effective therapies for moderate to severe cases are urgently needed. SAB-176 is a multivalent, broadly neutralizing fully human polyclonal antibody therapeutic candidate in development for the treatment or prevention of severe influenza. This novel, specifically targeted high-potency immunotherapy leverages the natural human immune response and is designed to bind and neutralize both type A and type B influenza, including emerging and mutating strains. It may also be modified to address annual strain changes when needed. Nonclinical data suggests that SAB-176 offers broad protection against diverse influenza strains, even those that were not specifically targeted, potentially as a result of its strong cross-reactive potencies to conserved epitopes.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SAB-176 has the potential to complement seasonal vaccine programs, to achieve better efficacy than small molecule anti-influenza antivirals in the general population, to avoid development of resistant strains and to serve as a protective prophylactic in high-risk populations. This promising therapy is well-suited to address highly mutating viruses that have significant annual health impacts as well as pandemic potential.</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SAB-176 was evaluated in an ascending dose, double-blind, randomized, placebo-controlled Phase 1 safety trial in healthy volunteers. No drug related serious adverse events have been observed to date.</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SAB-176 was assessed in IND-enabling studies including Good Laboratory Practice (GLP) toxicology studies. The results were submitted to the FDA for review as part of the IND submission. The FDA authorized SAB Biotherapeutics to initiate a Phase 1 trial in healthy adults based on the safety profile in the preclinical data set. A description of this study can be found at the ClinicalTrials.gov website under the identification code NCT04471038. A Safety Review Committee (SRC) monitored adverse events after each cohort was infused and recommended that each later cohort could be infused with the next highest dose according to the study protocol. No SAB-176 related SAEs were identified by the DSMB, although adverse events were noted among the SAB-176 and placebo participants. A final study report is being prepared by the CRO that conducted the study expected in the first quarter of 2022.</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December, we announced topline data for a Phase 2a challenge study that was initiated in June 2021. This was a randomized, double-blind, placebo-controlled study evaluating the safety and treatment efficacy of SAB-176 in 60 healthy adults challenged with a pandemic influenza virus strain (pH1N1). Participants were randomized to receive either SAB-176 (25 mg/kg dose) or placebo and were intranasally inoculated with pandemic H1N1 (2009/California) virus, and nasopharyngeal swabs were taken 8 days after inoculation.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4"/>
          <w:szCs w:val="14"/>
          <w:color w:val="auto"/>
        </w:rPr>
        <w:t>The primary endpoint of the study was reduction of the nasopharyngeal viral load of subjects treated with SAB-176 (expressed as area under the curve, or AUC) compared to those receiving placebo over an 8-day timepoint as measured by qRT-PCR. SAB-176 met the primary endpoint of significantly reducing patient pH1N1 influenza viral load in the treated subjects (p = 0.026, one sided).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96520</wp:posOffset>
            </wp:positionV>
            <wp:extent cx="3406775" cy="1784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6775" cy="178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secondary endpoint of the challenge study was reduction of clinical flu signs and symptoms in the subjects receiving active treatment (n=8) compared to placebo controls (n=12) for those who had signs and symptoms. SAB-176 achieved statistical significance in meeting the secondary endpoint at Day 4 (p = 0.013, one sided) in symptomatic patients. A full analysis and data readout is being prepared and expected in the first half of 2022.</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this study SAB-176 also appeared to be safe and well tolerated. No SAB-176-related serious adverse events (SAEs) were observed, and most adverse events were mild to moderate. Based on these positive efficacy and safety results, we plan to further evaluate SAB-176 in a global clinical trial in the second quarter of 2022.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Immune System Disorders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novel capability of the DiversitAb™ platform in harnessing the natural human biological immune response offers the opportunity to address several immune system disorders with new therapies for unmet medical needs. The Company’s platform technology shows potential in the treatment of autoimmune diseases either by blocking deleterious innate effector cell functions, depleting adaptive immune arms that target host tissue(s), and addressing different allergens and auto-antibodies.</w:t>
      </w:r>
    </w:p>
    <w:p>
      <w:pPr>
        <w:spacing w:after="0" w:line="14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Company is currently advancing therapeutic candidates through its SAB-142 program for organ transplant induction and organ transplant rejection, as well as a related program to address type 1 diabetes. SAB also is conducting an undisclosed autoimmune target research effort under a research collaboration agreement with CSL Behring, the largest human plasma company. The collaboration is exploring the potential of new therapies to treat challenging autoimmune and idiopathic diseases using polyclonal antibodies generated by SAB’s DiversitAb™ platform. CSL Behring and SAB are sharing research program and related costs. The collaboration may lead to subsequent development and commercialization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SAB-142 </w:t>
      </w:r>
      <w:r>
        <w:rPr>
          <w:rFonts w:ascii="Arial" w:cs="Arial" w:eastAsia="Arial" w:hAnsi="Arial"/>
          <w:sz w:val="14"/>
          <w:szCs w:val="14"/>
          <w:color w:val="auto"/>
        </w:rPr>
        <w:t>(</w:t>
      </w:r>
      <w:r>
        <w:rPr>
          <w:rFonts w:ascii="Arial" w:cs="Arial" w:eastAsia="Arial" w:hAnsi="Arial"/>
          <w:sz w:val="14"/>
          <w:szCs w:val="14"/>
          <w:b w:val="1"/>
          <w:bCs w:val="1"/>
          <w:color w:val="auto"/>
        </w:rPr>
        <w:t>Organ Transplant &amp; Type 1 Diabetes):</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SAB-142 is a fully human anti-thymocyte globulin (ATG) candidate for preventing organ transplant rejection. Current approved ATG products are sourced from animals, including transplant market leader rabbit-derived Thymoglobulin</w:t>
      </w:r>
      <w:r>
        <w:rPr>
          <w:rFonts w:ascii="Arial" w:cs="Arial" w:eastAsia="Arial" w:hAnsi="Arial"/>
          <w:sz w:val="23"/>
          <w:szCs w:val="23"/>
          <w:color w:val="auto"/>
          <w:vertAlign w:val="superscript"/>
        </w:rPr>
        <w:t>®</w:t>
      </w:r>
      <w:r>
        <w:rPr>
          <w:rFonts w:ascii="Arial" w:cs="Arial" w:eastAsia="Arial" w:hAnsi="Arial"/>
          <w:sz w:val="14"/>
          <w:szCs w:val="14"/>
          <w:color w:val="auto"/>
        </w:rPr>
        <w:t>, and equine-derived ATGAM</w:t>
      </w:r>
      <w:r>
        <w:rPr>
          <w:rFonts w:ascii="Arial" w:cs="Arial" w:eastAsia="Arial" w:hAnsi="Arial"/>
          <w:sz w:val="23"/>
          <w:szCs w:val="23"/>
          <w:color w:val="auto"/>
          <w:vertAlign w:val="superscript"/>
        </w:rPr>
        <w:t>®</w:t>
      </w:r>
      <w:r>
        <w:rPr>
          <w:rFonts w:ascii="Arial" w:cs="Arial" w:eastAsia="Arial" w:hAnsi="Arial"/>
          <w:sz w:val="14"/>
          <w:szCs w:val="14"/>
          <w:color w:val="auto"/>
        </w:rPr>
        <w:t>. A human ATG alternative has the potential for higher potency without toxicity, presenting a potential opportunity to redefine the standard of care. Dosing advantages of a human ATG may include a longer half-life and potential for repeat dosing, without significant potential to generate serum sickness or anaphylaxis, which can be caused by the presence of animal proteins in the current therapies.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4" w:name="page65"/>
    <w:bookmarkEnd w:id="64"/>
    <w:p>
      <w:pPr>
        <w:jc w:val="both"/>
        <w:spacing w:after="0" w:line="292" w:lineRule="auto"/>
        <w:rPr>
          <w:sz w:val="20"/>
          <w:szCs w:val="20"/>
          <w:color w:val="auto"/>
        </w:rPr>
      </w:pPr>
      <w:r>
        <w:rPr>
          <w:rFonts w:ascii="Arial" w:cs="Arial" w:eastAsia="Arial" w:hAnsi="Arial"/>
          <w:sz w:val="13"/>
          <w:szCs w:val="13"/>
          <w:color w:val="auto"/>
        </w:rPr>
        <w:t>A potentially significant application is for the delay/prevention of the onset of type 1 diabetes, a serious lifelong autoimmune disease. In a Phase 2 clinical trial, Thymoglobulin demonstrated benefit over two years delaying the early onset of T1D. T1D affects 1.6 million people and there are 60,000+ new diagnoses each year in the U.S. alone. The full potential of agents such as Thymoglobulin to delay or prevent type 1 diabetes is limited by the unsuitability of animal products for repeat dosing. SAB-142 represents an opportunity to offer a novel fully human alternative to rabbit- or equine ATG antibodies, that has the potential for re-dosing and avoids current risk factors such as serum sickness, anaphylaxis and loss of efficacy of currently available therapies.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Potentially Significant Opportunity in Transplant</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Despite broad use, there are several limitations of approved ATG products. Risks of serum sickness and anti-drug antibody (ADA) formation have limited use of animal ATG products, with rates of serum sickness &gt;30% and repeat dosing not recommended. Therefore, physicians typically reserve its use for immune induction or acute rejection – but not both. A human alternative such as SAB-142 is expected to have several advantages over ATG animal antibody products. In the established transplant market, a human ATG that has a reduced risk of adverse events such as serum sickness has the potential to penetrate the current market and expand existing clinical use.</w:t>
      </w:r>
    </w:p>
    <w:p>
      <w:pPr>
        <w:spacing w:after="0" w:line="145"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 xml:space="preserve">SAB-142, has demonstrated a comparable profile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to approved animal ATG products–equine-derived ATGAM and rabbit-derived Thymoglobulin. The Tc Bovine™ derived human ATG has also demonstrated higher potency compared to Thymoglobulin </w:t>
      </w:r>
      <w:r>
        <w:rPr>
          <w:rFonts w:ascii="Arial" w:cs="Arial" w:eastAsia="Arial" w:hAnsi="Arial"/>
          <w:sz w:val="13"/>
          <w:szCs w:val="13"/>
          <w:i w:val="1"/>
          <w:iCs w:val="1"/>
          <w:color w:val="auto"/>
        </w:rPr>
        <w:t>in vitro</w:t>
      </w:r>
      <w:r>
        <w:rPr>
          <w:rFonts w:ascii="Arial" w:cs="Arial" w:eastAsia="Arial" w:hAnsi="Arial"/>
          <w:sz w:val="13"/>
          <w:szCs w:val="13"/>
          <w:color w:val="auto"/>
        </w:rPr>
        <w:t>. SAB hopes to show improved safety, dosing and efficacy profiles for its human ATG program in future human studies.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Therapeutic Potential in New-Onset Type 1 Diabetes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noted, SAB-142 also has a potentially long-term treatment benefit in patients with new onset type 1 diabetes. Based on Phase 2 clinical trial results, a single dose of rabbit ATG showed sustained benefit in TID over two years by maintaining significantly higher C-peptide levels (a marker of pancreatic beta cell function) than placebo controls. In addition to potentially preserving beta cell function in early TID patients, a human ATG could open the possibility of re-dosing when clinically meaningful indicators such as C-peptide levels and A1C indicate worsening disease, without the potential risk of inducing the major immune reactions that can occur with fully animal antibodies.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SAB plans to initiate additional IND-enabling studies for SAB-142 in the first quarter of 2022.</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Discovery Programs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Oncology (Undisclosed Targets)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SAB has the potential to develop polyclonal therapeutic candidates that address multiple aspects of cancer and is pursuing undisclosed target opportunities for which it expects to have early developmental data in the first half of 2022.</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DiversitAb™ platform shows promise in oncology applications with its novel potential ability to address mutations, polymorphisms and resistance pathways. SAB’s human polyclonal antibodies may offer advantages as cancer therapies, including:</w:t>
      </w:r>
    </w:p>
    <w:p>
      <w:pPr>
        <w:spacing w:after="0" w:line="131" w:lineRule="exact"/>
        <w:rPr>
          <w:sz w:val="20"/>
          <w:szCs w:val="20"/>
          <w:color w:val="auto"/>
        </w:rPr>
      </w:pPr>
    </w:p>
    <w:p>
      <w:pPr>
        <w:ind w:left="520" w:hanging="2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Multi-targeting</w:t>
      </w:r>
      <w:r>
        <w:rPr>
          <w:rFonts w:ascii="Arial" w:cs="Arial" w:eastAsia="Arial" w:hAnsi="Arial"/>
          <w:sz w:val="14"/>
          <w:szCs w:val="14"/>
          <w:color w:val="auto"/>
        </w:rPr>
        <w:t>–Ability to simultaneously target multiple modalities of cancer in a single product</w:t>
      </w:r>
    </w:p>
    <w:p>
      <w:pPr>
        <w:spacing w:after="0" w:line="20" w:lineRule="exact"/>
        <w:rPr>
          <w:rFonts w:ascii="Arial" w:cs="Arial" w:eastAsia="Arial" w:hAnsi="Arial"/>
          <w:sz w:val="14"/>
          <w:szCs w:val="14"/>
          <w:color w:val="auto"/>
        </w:rPr>
      </w:pPr>
    </w:p>
    <w:p>
      <w:pPr>
        <w:ind w:left="520" w:hanging="2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Multivalency</w:t>
      </w:r>
      <w:r>
        <w:rPr>
          <w:rFonts w:ascii="Arial" w:cs="Arial" w:eastAsia="Arial" w:hAnsi="Arial"/>
          <w:sz w:val="14"/>
          <w:szCs w:val="14"/>
          <w:color w:val="auto"/>
        </w:rPr>
        <w:t>–Leverages native immune response–polyclonal antibodies–with binding to multiple epitopes to address mutations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Metastasis Prevention</w:t>
      </w:r>
      <w:r>
        <w:rPr>
          <w:rFonts w:ascii="Arial" w:cs="Arial" w:eastAsia="Arial" w:hAnsi="Arial"/>
          <w:sz w:val="14"/>
          <w:szCs w:val="14"/>
          <w:color w:val="auto"/>
        </w:rPr>
        <w:t>–Literature suggests human polyclonal IVIG antibodies may help prevent tumor metastases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Effector Function– Enhanced effector functions such as antibody-dependent cellular cytotoxicity (ADCC), and complement dependent cytotoxicity (CDC)</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Replicability</w:t>
      </w:r>
      <w:r>
        <w:rPr>
          <w:rFonts w:ascii="Arial" w:cs="Arial" w:eastAsia="Arial" w:hAnsi="Arial"/>
          <w:sz w:val="14"/>
          <w:szCs w:val="14"/>
          <w:color w:val="auto"/>
        </w:rPr>
        <w:t>–SAB’s DiversitAb™ platform has developed antibodies against a variety of oncology targets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4"/>
          <w:szCs w:val="14"/>
          <w:color w:val="auto"/>
        </w:rPr>
        <w:t>SAB has recruited and deployed an oncology-focused team with the goal of pioneering polyclonal antibodies for use in treating cancer. The company has filed several patents and aims to demonstrate initial proof-of-concept in oncology in the first half of 2022.</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Immune Globulin–IgG (Undisclosed Targets)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Fully human Tc Bovine™-derived immune globulin (hIgG) has shown similar functional properties to human-derived intravenous immunoglobulin (IVIG) </w:t>
      </w:r>
      <w:r>
        <w:rPr>
          <w:rFonts w:ascii="Arial" w:cs="Arial" w:eastAsia="Arial" w:hAnsi="Arial"/>
          <w:sz w:val="14"/>
          <w:szCs w:val="14"/>
          <w:i w:val="1"/>
          <w:iCs w:val="1"/>
          <w:color w:val="auto"/>
        </w:rPr>
        <w:t>in vitro</w:t>
      </w:r>
      <w:r>
        <w:rPr>
          <w:rFonts w:ascii="Arial" w:cs="Arial" w:eastAsia="Arial" w:hAnsi="Arial"/>
          <w:sz w:val="14"/>
          <w:szCs w:val="14"/>
          <w:color w:val="auto"/>
        </w:rPr>
        <w:t>. IVIG are antibodies that are administered to patients by intravenous infusion and are used to treat primary antibody deficiency, as well as a variety of conditions including vasculitis, systemic lupus erythematosus, mucous membrane pemphigoid and uveitis and Kawasaki syndrome. The Fc fragment of the Tc Bovine-derived IgG binds all human Fc receptors in a fashion similar to human-derived hIgG and can therefore be used to prevent effector cell activation while decreasing the half-life of autoimmune anti-platelet antibodies.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potential for a fully human immune globulin G derived from the Tc Bovine™ will be evaluated in preclinical studies for applications involving Fc receptor modes of action in neurological, dermatological and hematological disorders that have been historically treated with human-derived intravenous immunoglobulins. The Fc receptor is a protein found on the surface of certain cells, including, among others B lymphocytes, follicular dendritic cells, natural killer cells, macrophages, neutrophils, eosinophils, basophils, human platelets, and mast cells that contribute to the protective functions of the immune system.</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Tc Bovine-derived IgG offers the potential for a simplified and controlled approach to predictable human immunoglobulin production and broad use across Fc-mediated autoimmune diseases. Lead and potential gateway indications for proof-of-concept are currently under evaluation.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Matters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4"/>
          <w:szCs w:val="14"/>
          <w:color w:val="auto"/>
        </w:rPr>
        <w:t>In the U.S., three primary regulatory agencies —USDA, FDA (CVM &amp; CBER), and HHS, as described below— impact SAB’s DiversitAb</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technology and its use to produce drug products administered to humans. SAB has long standing relationships with each of these agencies that have been developed across multiple development stages and products. SAB has demonstrated animal and clinical regulatory compliance and achieved regulatory permission to advance through Phase 3 clinical trials in one indication, Phase 2 in two indications and through Phase 1 clinical trials in four indications. SAB is committed to uphold government regulations and guidelines and achieve industry leading quality standards that support the further development and application of our DiversitAb™ platform. SAB fully supports the premise that all products must demonstrate safety and efficacy in a manner consistent with the benefits of their use as therapeutic treatments for human disease.</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Government authorities in the U.S., at the federal, state and local level, and in the European Union and other countries and jurisdictions, extensively regulate, among other things, the research, development, testing, manufacturing, quality control, approval, labeling, packaging, storage, record-keeping, promotion, advertising, distribution, post-approval monitoring and reporting, marketing and export and import of pharmaceutical products, including biological products such as those that SAB and our partners develop. Our main interactions are with U.S. regulatory agencies, although we eventually expect to conduct business outside the U.S. and therefore may have to address additional ex-U.S. regulatory compliance requirements. SAB is knowledgeable about the availability of experienced regulatory consultants who can assist in meeting the requirements of other territories.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SAB is committed to best practices and the highest standards in the management and care of our animals. The U.S. Department of Agriculture (USDA) regulates the company’s Tc Bovine™ husbandry activities, including housing, health care, and general management of these specialized animals. This includes regulations and periodic facility inspections and reporting. SAB also is voluntarily accredited by the American Association for Accreditation of Laboratory Animal Care (AAALAC). The AAALAC International accreditation program evaluates organizations that use animals in research, teaching or testing. Those that meet or exceed AAALAC standards are awarded accreditation. The accreditation process includes an extensive internal review conducted by the institution applying for accreditation.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3"/>
          <w:szCs w:val="13"/>
          <w:color w:val="auto"/>
        </w:rPr>
        <w:t>The FDA Center for Veterinary Medicine (CVM) manages Tc Bovine</w:t>
      </w:r>
      <w:r>
        <w:rPr>
          <w:rFonts w:ascii="Arial" w:cs="Arial" w:eastAsia="Arial" w:hAnsi="Arial"/>
          <w:sz w:val="21"/>
          <w:szCs w:val="21"/>
          <w:color w:val="auto"/>
          <w:vertAlign w:val="superscript"/>
        </w:rPr>
        <w:t>TM</w:t>
      </w:r>
      <w:r>
        <w:rPr>
          <w:rFonts w:ascii="Arial" w:cs="Arial" w:eastAsia="Arial" w:hAnsi="Arial"/>
          <w:sz w:val="13"/>
          <w:szCs w:val="13"/>
          <w:color w:val="auto"/>
        </w:rPr>
        <w:t xml:space="preserve"> technology regulations and includes scientific and regulatory communications focused on SAB’s animal plasma as the source of drug substance and product. FDA CVM has regulatory oversight of animals with intentional genomic alterations (IGA) to produce drugs and biological products intended for human use. CVM has regulatory responsibility for veterinary and food safety issues associated with final products and the use of IGA animals. CVM and other FDA Centers work interactively to regulate IGA animals and their products. Regulations 21 CFR, Parts 58, 210, 211, 600, 680 and 9 CFR, Parts 1, 2, 3 are applicable to aspects of production or disposition of these IGA animals. CVM has Guidance 187 for Regulation of Intentionally Altered Genomic DNA in Animals for the regulatory oversight and approval process for IGA animals intended for production of biological products for human use, as well as CBER’s Points to Consider in the Manufacture and Testing of Therapeutic Products for Human Use Derived from Transgenic Animals (CBER 1995).</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SAB has a longstanding relationship with CVM and has an Investigational New Animal Drug (INAD-011204) on file. Data and information on the safety and effectiveness of the genetic modifications of Tc Bovine™ are currently in the process of being submitted in a series of seven steps in accordance with Guidance 187 and under review by CVM. Once all steps are completed and reviewed by CVM, an administrative New Animal Drug Application (NADA) will be submitted for final review and approval. The current expectation is to have the NADA completed by the fourth quarter of 2022. SAB is also currently filing a new animal drug application (NADA) assessing the safety and effectiveness of the genetic modifications to the Tc Bovine™ animals with the FDA Center of Veterinary Medicine. This is a one-time process that includes future post approval responsibilities related to the durability of animal health and antibody response. CVM Guidance Elements:</w:t>
      </w:r>
    </w:p>
    <w:p>
      <w:pPr>
        <w:spacing w:after="0" w:line="147" w:lineRule="exact"/>
        <w:rPr>
          <w:sz w:val="20"/>
          <w:szCs w:val="20"/>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Regulates the constructs of Tc Bovine™</w:t>
      </w:r>
    </w:p>
    <w:p>
      <w:pPr>
        <w:spacing w:after="0" w:line="20" w:lineRule="exact"/>
        <w:rPr>
          <w:rFonts w:ascii="Arial" w:cs="Arial" w:eastAsia="Arial" w:hAnsi="Arial"/>
          <w:sz w:val="14"/>
          <w:szCs w:val="14"/>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Guidance #187: Regulation of Genetically Engineered Animals Containing Heritable Recombinant DNA Constructs (2015)</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21 CFR (25.22) (201) (360b) (511.1) (512) (514.1) (589.2)</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Investigational New Animal Drug (INAD) “Investigation”</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New Animal Drug Application (NADA) “Safety and Effectiveness”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National Environmental Policy Act (NEPA) “Environmental Impact”</w:t>
      </w:r>
    </w:p>
    <w:p>
      <w:pPr>
        <w:spacing w:after="0" w:line="173"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SAB human polyclonal antibody product candidates are regulated by the FDA Center for Biologics Evaluation and Research (CBER). CBER has given permission to date for eight clinical studies of SAB products in humans, five of which are safety studies that are either complete or almost complete, and two of which are Phase 2 efficacy and safety studies that are underway and one Phase 3 that is ongoing. The FDA clearances are based on their reviews of SAB data related to the DiversitAb™ platform including animal cloning and animal management, antigen development, hyperimmunization, plasma collection and testing, plasma purification, fill finish, IND-enabling studies, human clinical studies and quality assurance and quality control protocols.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CBER Guidance Elements:</w:t>
      </w:r>
    </w:p>
    <w:p>
      <w:pPr>
        <w:spacing w:after="0" w:line="182" w:lineRule="exact"/>
        <w:rPr>
          <w:sz w:val="20"/>
          <w:szCs w:val="20"/>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Regulates the drug product from the Tc Bovine™</w:t>
      </w:r>
    </w:p>
    <w:p>
      <w:pPr>
        <w:spacing w:after="0" w:line="2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Points to Consider in the Manufacture and Testing of Therapeutic Products for Human Use Derived from Transgenic Animals (1995)</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Guidance: Source Animals, Product, Preclinical, and Clinical Issues Concerning the Use of Xenotransplantation Products in Humans (2003)</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Guidance Q7: Good Manufacturing Practice Guidance for Active Pharmaceutical Ingredients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Guidance Q9: Quality Risk Management</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Guidance Q10: Pharmaceutical Quality Systems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21 CFR (210) (211) (312.23) (600) Good Manufacturing Practices (GMP)</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SAB also works closely with the National Institutes of Health, including the divisions of Office of Biotechnology Activities, Institutional Biosafety Committee, and the office of Laboratory Animal Welfare.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The following graphic depicts the major U.S. agencies that regulate SAB’s products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3406775" cy="3597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6775" cy="359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Company anticipates expanding its regulatory relationships and requirements to ex-U.S. markets. Currently, SAB is sponsoring a Phase 2a challenge trial in the U.K. on SAB-176 for influenza, and that trial is regulated by the United Kingdom Medicines and Healthcare products Regulatory Agency (MHRA), among other regulatory authorities. SAB-185 is also in an ongoing Phase 3 trial sponsored by the NIH which includes ex-U.S. clinical sites. SAB expects to continue to conduct clinical trials in markets that are regulated by non-U.S. regulatory agencies.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Partners and Research Collaborators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collaborated extensively with U.S. government agencies within both the DOD and HHS. As discussed above, SAB is executing an award from Joint Program Executive Office for Chemical, Biological, Radiological, and Nuclear Defense (JPEO – CBRND) Joint Project Lead for Enabling Biotechnologies (JPL-EB) (hereafter JPEO-EB) within the DOD that includes co-funding from the Defense Health Authority and from BARDA (within HHS). The award currently totals up to approximately $203.6 million. The scope of the award includes proof-of-concept, scaling and live-fire of a Rapid Response Program leveraging SAB’s response capabilities and was expanded to include SAB’s COVID-19 therapeutic, SAB-185, as part of the Countermeasures Acceleration Group (formerly Operation Warp Speed). That expansion included significant capacity growth, addition of capabilities, and expansion of infrastructure including human resources and facilities.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uses third party CROs to conduct clinical studies on its behalf. In the case of SAB-185, the CROs for the Phase 1, 1b, 2 and 3 were contracted and funded by the US government. For SAB-176, PPD Development, LP, acting as the CRO oversaw the Phase 1 safety study. The status of the agreement is current, in good standing and the terms are subject to confidentiality. Approximately 90% of the funds for the contract have been paid.</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 engaged in a confidential research collaboration with a U.S. based global Pharma company. This collaboration is not expected to have a material impact on revenue or expenses at this stage of the collaboration.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Sales Channels</w:t>
      </w:r>
    </w:p>
    <w:p>
      <w:pPr>
        <w:spacing w:after="0" w:line="18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Currently, the Company has no commercial product sales as all products are currently either clinical or earlier stage. Revenues, however, have been generated through government agreements, including the current Rapid Response Antibody Program and COVID-19 Pandemic Response award agreement with JPEO-EB, which includes funding from JPEO, BARDA and DHA. That award totals up to approximately $203.6 million since 2019 and generated approximately $55 million in revenue in 2020. The award is focused on building warm base rapid response program leveraging</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the DiversitAb</w:t>
      </w:r>
      <w:r>
        <w:rPr>
          <w:rFonts w:ascii="Arial" w:cs="Arial" w:eastAsia="Arial" w:hAnsi="Arial"/>
          <w:sz w:val="23"/>
          <w:szCs w:val="23"/>
          <w:color w:val="auto"/>
          <w:vertAlign w:val="superscript"/>
        </w:rPr>
        <w:t>TM</w:t>
      </w:r>
      <w:r>
        <w:rPr>
          <w:rFonts w:ascii="Arial" w:cs="Arial" w:eastAsia="Arial" w:hAnsi="Arial"/>
          <w:sz w:val="14"/>
          <w:szCs w:val="14"/>
          <w:color w:val="auto"/>
        </w:rPr>
        <w:t xml:space="preserve"> platform, generating funding and technical support for physical and human resources capacity building, development of new investigational programs for research uses only, and support for the SAB-185 program for COVID-19 in clinical development and manufacturing. SAB currently has limited operational infrastructure related to the direct sale or distribution of its products and plans to utilize third party providers and commercial licensees to commercialize this product.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Production/Manufacturing</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support of its operations, the Company currently operates two plasma fractionation purification facilities: a 50L scale cGMP suite that has produced clinical grade drug product, and a 200L scale clean room that was completed in 2021 and is currently being validated to produce clinical grade drug substance and drug product. The 200L facility is expected to be able to generate clinical grade drug substance in 2021 and drug product in 2022.</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Advanced clinical product for SAB-185 was produced at CSL Behring. The company is presently engaged in discussions with additional CMO providers to manufacture commercial drug substance and drug product at commercial scale.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SAB maintains substantial laboratory facilities and operations for product development and testing, quality control and discovery. The Company has recently initiated its own internal antigen development capabilities and significantly scaled production capacity to accommodate the Tc Bovine™ immunizations required for SAB-185 production. It has recently initiated an expansion of its research and development laboratory facilities to accommodate expansion in oncology research, clinical testing, and discovery</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SAB’s Tc Bovine™ are housed at dedicated specialty facilities that cater to the production, health, safety and welfare of the animals, and provide plasma production at commercial scale for SAB’s products.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 engaged in a highly competitive industry and therapeutics categories. SAB competes with many public and private companies, including pharmaceutical companies, chemical companies, specialized biotechnology companies and academic institutions.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Monoclonal Antibodies</w:t>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A monoclonal is a highly targeted clone of a single antibody that binds to a specific epitope with specific activity. Regulated through the FDA: Center for Drug Evaluation &amp; Research (CDER), monoclonal therapies require the full characterization of the antibody. The development process involves an iterative identification and selection.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While widely used and proven effective, monoclonal antibodies may develop escape mutants under selective pressure due to the specific targeting and activity. Resistance may also develop as a pathogen mutates. A trend of the use of monoclonal cocktails, combination of one or two antibodies, is being utilized to address resistance and escape mutants.</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i w:val="1"/>
          <w:iCs w:val="1"/>
          <w:color w:val="auto"/>
        </w:rPr>
        <w:t xml:space="preserve">Monoclonal Cocktails, “Oligoclonals”: </w:t>
      </w:r>
      <w:r>
        <w:rPr>
          <w:rFonts w:ascii="Arial" w:cs="Arial" w:eastAsia="Arial" w:hAnsi="Arial"/>
          <w:sz w:val="13"/>
          <w:szCs w:val="13"/>
          <w:color w:val="auto"/>
        </w:rPr>
        <w:t>The use of monoclonal cocktails, the combination of two or more antibodies, to achieve greater efficacy and address resistance and escape mutants, is a</w:t>
      </w:r>
      <w:r>
        <w:rPr>
          <w:rFonts w:ascii="Arial" w:cs="Arial" w:eastAsia="Arial" w:hAnsi="Arial"/>
          <w:sz w:val="13"/>
          <w:szCs w:val="13"/>
          <w:i w:val="1"/>
          <w:iCs w:val="1"/>
          <w:color w:val="auto"/>
        </w:rPr>
        <w:t xml:space="preserve"> </w:t>
      </w:r>
      <w:r>
        <w:rPr>
          <w:rFonts w:ascii="Arial" w:cs="Arial" w:eastAsia="Arial" w:hAnsi="Arial"/>
          <w:sz w:val="13"/>
          <w:szCs w:val="13"/>
          <w:color w:val="auto"/>
        </w:rPr>
        <w:t>recent trend to mimic more polyclonality characteristics. SAB also differentiates its polyclonal antibodies from these antibody cocktails and from oligoclonal antibodies (multiple antibodies combined for the same reasons as cocktails). SAB has demonstrated that its polyclonal antibodies have the advantage of emulating the natural way our bodies fight disease, and views monoclonal cocktails as an inferior approach attempting to recreate that natural human immune response already inherent in SAB’s polyclonal antibody therapeutics.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9" w:name="page70"/>
    <w:bookmarkEnd w:id="69"/>
    <w:p>
      <w:pPr>
        <w:jc w:val="both"/>
        <w:spacing w:after="0" w:line="286" w:lineRule="auto"/>
        <w:rPr>
          <w:sz w:val="20"/>
          <w:szCs w:val="20"/>
          <w:color w:val="auto"/>
        </w:rPr>
      </w:pPr>
      <w:r>
        <w:rPr>
          <w:rFonts w:ascii="Arial" w:cs="Arial" w:eastAsia="Arial" w:hAnsi="Arial"/>
          <w:sz w:val="14"/>
          <w:szCs w:val="14"/>
          <w:color w:val="auto"/>
        </w:rPr>
        <w:t>While widely used, monoclonal antibodies may allow development of escape mutants under selective pressure due to their specificity that targets only a few epitopes. Resistance may also develop as a pathogen mutates and escape mutants are propagated in patients with an inadequate immune response.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Polyclonal Antibodies</w:t>
      </w:r>
      <w:r>
        <w:rPr>
          <w:rFonts w:ascii="Arial" w:cs="Arial" w:eastAsia="Arial" w:hAnsi="Arial"/>
          <w:sz w:val="14"/>
          <w:szCs w:val="14"/>
          <w:color w:val="auto"/>
        </w:rPr>
        <w:t>: Polyclonal antibodies are a plasma-derived, naturally diverse mixture of many antibodies with multiple modalities that bind to multiple epitopes. Regulated through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FDA’s CBER, polyclonal therapies do not require the full characterization of individual antibody molecules within the mixture. Rather they are regulated based upon validated potency assays. Polyclonal antibodies are naturally selected and produced </w:t>
      </w:r>
      <w:r>
        <w:rPr>
          <w:rFonts w:ascii="Arial" w:cs="Arial" w:eastAsia="Arial" w:hAnsi="Arial"/>
          <w:sz w:val="14"/>
          <w:szCs w:val="14"/>
          <w:i w:val="1"/>
          <w:iCs w:val="1"/>
          <w:color w:val="auto"/>
        </w:rPr>
        <w:t>in vivo</w:t>
      </w:r>
      <w:r>
        <w:rPr>
          <w:rFonts w:ascii="Arial" w:cs="Arial" w:eastAsia="Arial" w:hAnsi="Arial"/>
          <w:sz w:val="14"/>
          <w:szCs w:val="14"/>
          <w:color w:val="auto"/>
        </w:rPr>
        <w:t>, derived directly from the plasma of animals or humans. As the natural biological immune response, polyclonal antibodies activate cellular immunity and have demonstrated efficacy against escape mutants with reduced possibility of resistance. The naturally synergistic properties of polyclonal antibodies are not duplicated by monoclonal antibodies or oligoclonal antibodies.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Animal and Human Derived Polyclonal Antibodies</w:t>
      </w:r>
      <w:r>
        <w:rPr>
          <w:rFonts w:ascii="Arial" w:cs="Arial" w:eastAsia="Arial" w:hAnsi="Arial"/>
          <w:sz w:val="14"/>
          <w:szCs w:val="14"/>
          <w:color w:val="auto"/>
        </w:rPr>
        <w:t>: There are more than 40 polyclonal antibodies that have been approved for use in humans by the FDA. These products include those polyclonal</w:t>
      </w:r>
      <w:r>
        <w:rPr>
          <w:rFonts w:ascii="Arial" w:cs="Arial" w:eastAsia="Arial" w:hAnsi="Arial"/>
          <w:sz w:val="14"/>
          <w:szCs w:val="14"/>
          <w:i w:val="1"/>
          <w:iCs w:val="1"/>
          <w:color w:val="auto"/>
        </w:rPr>
        <w:t xml:space="preserve"> </w:t>
      </w:r>
      <w:r>
        <w:rPr>
          <w:rFonts w:ascii="Arial" w:cs="Arial" w:eastAsia="Arial" w:hAnsi="Arial"/>
          <w:sz w:val="14"/>
          <w:szCs w:val="14"/>
          <w:color w:val="auto"/>
        </w:rPr>
        <w:t>antibodies derived from animals, such as horses and rabbits, and from humans, such as human donations of plasma for use as IVIG, or in some cases donated as a target specific convalescent plasma.</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Animal derived products tend to be used in serious disease conditions where there are few, if any, options, as the animal products often have safety risk factors, such as serum sickness.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portfolio of intellectual property (IP) and trade secrets that SAB has developed include patents related to the activity of its human artificial chromosome and to methods that are expected to allow SAB to generate fully human antibodies at commercial scale. The patent portfolio includes composition and method patents. SAB has as a goal the continued expansion of the breadth of claims, as well as the length of claim protections.</w:t>
      </w:r>
    </w:p>
    <w:p>
      <w:pPr>
        <w:spacing w:after="0" w:line="141" w:lineRule="exact"/>
        <w:rPr>
          <w:sz w:val="20"/>
          <w:szCs w:val="20"/>
          <w:color w:val="auto"/>
        </w:rPr>
      </w:pPr>
    </w:p>
    <w:p>
      <w:pPr>
        <w:ind w:left="520" w:hanging="257"/>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Patent portfolio includes 60+ patents in 12 patent families</w:t>
      </w:r>
    </w:p>
    <w:p>
      <w:pPr>
        <w:spacing w:after="0" w:line="20" w:lineRule="exact"/>
        <w:rPr>
          <w:rFonts w:ascii="Arial" w:cs="Arial" w:eastAsia="Arial" w:hAnsi="Arial"/>
          <w:sz w:val="14"/>
          <w:szCs w:val="14"/>
          <w:color w:val="auto"/>
        </w:rPr>
      </w:pPr>
    </w:p>
    <w:p>
      <w:pPr>
        <w:ind w:left="520" w:hanging="257"/>
        <w:spacing w:after="0" w:line="255"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Global patent protection at least to 2033 on producing commercial scale human antibodies using SAB’s chromosome engineering that generates high concentrations of human antibodies in ungulates</w:t>
      </w:r>
    </w:p>
    <w:p>
      <w:pPr>
        <w:spacing w:after="0" w:line="1" w:lineRule="exact"/>
        <w:rPr>
          <w:rFonts w:ascii="Arial" w:cs="Arial" w:eastAsia="Arial" w:hAnsi="Arial"/>
          <w:sz w:val="14"/>
          <w:szCs w:val="14"/>
          <w:color w:val="auto"/>
        </w:rPr>
      </w:pPr>
    </w:p>
    <w:p>
      <w:pPr>
        <w:ind w:left="520" w:hanging="257"/>
        <w:spacing w:after="0" w:line="27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Patented SAB technologies may be difficult to replicate, creating potential barriers to entry, as its genetic engineering know-how and suite of proprietary platform IP and trade secrets has been developed and optimized over nearly two decades.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SAB’s proprietary know-how and trade secrets include the following:</w:t>
      </w:r>
    </w:p>
    <w:p>
      <w:pPr>
        <w:spacing w:after="0" w:line="182" w:lineRule="exact"/>
        <w:rPr>
          <w:sz w:val="20"/>
          <w:szCs w:val="20"/>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Complex chromosome engineering trade secrets not disclosed in patent applications</w:t>
      </w:r>
    </w:p>
    <w:p>
      <w:pPr>
        <w:spacing w:after="0" w:line="20" w:lineRule="exact"/>
        <w:rPr>
          <w:rFonts w:ascii="Arial" w:cs="Arial" w:eastAsia="Arial" w:hAnsi="Arial"/>
          <w:sz w:val="14"/>
          <w:szCs w:val="14"/>
          <w:color w:val="auto"/>
        </w:rPr>
      </w:pPr>
    </w:p>
    <w:p>
      <w:pPr>
        <w:ind w:left="520" w:hanging="257"/>
        <w:spacing w:after="0" w:line="255"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Antigen dose levels used for nucleotides, peptides, proteins, closely autologous proteins, virus particles, whole inactivated viruses, cell membranes, whole cells, bacteria, glycol-proteins, human cell antigens, tissue preparation</w:t>
      </w:r>
    </w:p>
    <w:p>
      <w:pPr>
        <w:spacing w:after="0" w:line="1"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SAB adjuvants formulations for antigen hyperimmunization</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Bovine plasma fractionation procedures and trade secrets contained within SAB proprietary Standard Operating Procedures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Animal husbandry procedures for human antibody-producing ungulates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Transgenic neo-natal ungulate IVIG administration for failure of passive immunity</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cell culture and cloning practices not disclosed in patents</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Plasma collection procedures not disclosed in publications and patents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The following table provides a representative sample of SAB patents: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Title and Type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US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US</w:t>
            </w:r>
          </w:p>
        </w:tc>
        <w:tc>
          <w:tcPr>
            <w:tcW w:w="900" w:type="dxa"/>
            <w:vAlign w:val="bottom"/>
          </w:tcPr>
          <w:p>
            <w:pPr>
              <w:spacing w:after="0"/>
              <w:rPr>
                <w:sz w:val="14"/>
                <w:szCs w:val="14"/>
                <w:color w:val="auto"/>
              </w:rPr>
            </w:pPr>
          </w:p>
        </w:tc>
      </w:tr>
      <w:tr>
        <w:trPr>
          <w:trHeight w:val="172"/>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Patent</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of Patent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App</w:t>
            </w: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Filing</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US</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Issue</w:t>
            </w:r>
          </w:p>
        </w:tc>
        <w:tc>
          <w:tcPr>
            <w:tcW w:w="900" w:type="dxa"/>
            <w:vAlign w:val="bottom"/>
          </w:tcPr>
          <w:p>
            <w:pPr>
              <w:spacing w:after="0"/>
              <w:rPr>
                <w:sz w:val="20"/>
                <w:szCs w:val="20"/>
                <w:color w:val="auto"/>
              </w:rPr>
            </w:pPr>
            <w:r>
              <w:rPr>
                <w:rFonts w:ascii="Arial" w:cs="Arial" w:eastAsia="Arial" w:hAnsi="Arial"/>
                <w:sz w:val="14"/>
                <w:szCs w:val="14"/>
                <w:b w:val="1"/>
                <w:bCs w:val="1"/>
                <w:color w:val="auto"/>
                <w:w w:val="95"/>
              </w:rPr>
              <w:t>US Expiration</w:t>
            </w:r>
          </w:p>
        </w:tc>
      </w:tr>
      <w:tr>
        <w:trPr>
          <w:trHeight w:val="188"/>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Family</w:t>
            </w:r>
          </w:p>
        </w:tc>
        <w:tc>
          <w:tcPr>
            <w:tcW w:w="840" w:type="dxa"/>
            <w:vAlign w:val="bottom"/>
          </w:tcPr>
          <w:p>
            <w:pPr>
              <w:spacing w:after="0"/>
              <w:rPr>
                <w:sz w:val="20"/>
                <w:szCs w:val="20"/>
                <w:color w:val="auto"/>
              </w:rPr>
            </w:pPr>
            <w:r>
              <w:rPr>
                <w:rFonts w:ascii="Arial" w:cs="Arial" w:eastAsia="Arial" w:hAnsi="Arial"/>
                <w:sz w:val="14"/>
                <w:szCs w:val="14"/>
                <w:b w:val="1"/>
                <w:bCs w:val="1"/>
                <w:color w:val="auto"/>
              </w:rPr>
              <w:t>Countries</w:t>
            </w:r>
          </w:p>
        </w:tc>
        <w:tc>
          <w:tcPr>
            <w:tcW w:w="480" w:type="dxa"/>
            <w:vAlign w:val="bottom"/>
          </w:tcPr>
          <w:p>
            <w:pPr>
              <w:spacing w:after="0"/>
              <w:rPr>
                <w:sz w:val="16"/>
                <w:szCs w:val="16"/>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rPr>
              <w:t>Type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Protection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US Status</w:t>
            </w:r>
          </w:p>
        </w:tc>
        <w:tc>
          <w:tcPr>
            <w:tcW w:w="16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#’s</w:t>
            </w: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Patent#</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900" w:type="dxa"/>
            <w:vAlign w:val="bottom"/>
          </w:tcPr>
          <w:p>
            <w:pPr>
              <w:spacing w:after="0"/>
              <w:rPr>
                <w:sz w:val="20"/>
                <w:szCs w:val="20"/>
                <w:color w:val="auto"/>
              </w:rPr>
            </w:pPr>
            <w:r>
              <w:rPr>
                <w:rFonts w:ascii="Arial" w:cs="Arial" w:eastAsia="Arial" w:hAnsi="Arial"/>
                <w:sz w:val="14"/>
                <w:szCs w:val="14"/>
                <w:b w:val="1"/>
                <w:bCs w:val="1"/>
                <w:color w:val="auto"/>
              </w:rPr>
              <w:t>Date</w:t>
            </w:r>
          </w:p>
        </w:tc>
      </w:tr>
      <w:tr>
        <w:trPr>
          <w:trHeight w:val="161"/>
        </w:trPr>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3"/>
                <w:szCs w:val="13"/>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Australia,</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Canada,</w:t>
            </w: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PCT</w:t>
            </w:r>
          </w:p>
        </w:tc>
        <w:tc>
          <w:tcPr>
            <w:tcW w:w="220" w:type="dxa"/>
            <w:vAlign w:val="bottom"/>
          </w:tcPr>
          <w:p>
            <w:pPr>
              <w:spacing w:after="0"/>
              <w:rPr>
                <w:sz w:val="13"/>
                <w:szCs w:val="13"/>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Expression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of</w:t>
            </w: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Granted</w:t>
            </w:r>
          </w:p>
        </w:tc>
        <w:tc>
          <w:tcPr>
            <w:tcW w:w="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09/98115</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Nov 2001</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7074983</w:t>
            </w: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Jul 2006</w:t>
            </w: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Jan 2021</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China,</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CIP</w:t>
            </w:r>
          </w:p>
        </w:tc>
        <w:tc>
          <w:tcPr>
            <w:tcW w:w="780" w:type="dxa"/>
            <w:vAlign w:val="bottom"/>
            <w:gridSpan w:val="2"/>
          </w:tcPr>
          <w:p>
            <w:pPr>
              <w:spacing w:after="0"/>
              <w:rPr>
                <w:sz w:val="20"/>
                <w:szCs w:val="20"/>
                <w:color w:val="auto"/>
              </w:rPr>
            </w:pPr>
            <w:r>
              <w:rPr>
                <w:rFonts w:ascii="Arial" w:cs="Arial" w:eastAsia="Arial" w:hAnsi="Arial"/>
                <w:sz w:val="14"/>
                <w:szCs w:val="14"/>
                <w:color w:val="auto"/>
                <w:w w:val="96"/>
              </w:rPr>
              <w:t>Xenogenous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(Expired)*</w:t>
            </w: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11/291668</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Dec 2005</w:t>
            </w:r>
          </w:p>
        </w:tc>
        <w:tc>
          <w:tcPr>
            <w:tcW w:w="900" w:type="dxa"/>
            <w:vAlign w:val="bottom"/>
          </w:tcPr>
          <w:p>
            <w:pPr>
              <w:spacing w:after="0"/>
              <w:rPr>
                <w:sz w:val="20"/>
                <w:szCs w:val="20"/>
                <w:color w:val="auto"/>
              </w:rPr>
            </w:pPr>
            <w:r>
              <w:rPr>
                <w:rFonts w:ascii="Arial" w:cs="Arial" w:eastAsia="Arial" w:hAnsi="Arial"/>
                <w:sz w:val="14"/>
                <w:szCs w:val="14"/>
                <w:color w:val="auto"/>
              </w:rPr>
              <w:t>7491867</w:t>
            </w:r>
          </w:p>
        </w:tc>
        <w:tc>
          <w:tcPr>
            <w:tcW w:w="2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Feb 2009</w:t>
            </w: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Europe,</w:t>
            </w:r>
          </w:p>
        </w:tc>
        <w:tc>
          <w:tcPr>
            <w:tcW w:w="480" w:type="dxa"/>
            <w:vAlign w:val="bottom"/>
          </w:tcPr>
          <w:p>
            <w:pPr>
              <w:jc w:val="right"/>
              <w:spacing w:after="0"/>
              <w:rPr>
                <w:sz w:val="20"/>
                <w:szCs w:val="20"/>
                <w:color w:val="auto"/>
              </w:rPr>
            </w:pPr>
            <w:r>
              <w:rPr>
                <w:rFonts w:ascii="Arial" w:cs="Arial" w:eastAsia="Arial" w:hAnsi="Arial"/>
                <w:sz w:val="14"/>
                <w:szCs w:val="14"/>
                <w:color w:val="auto"/>
                <w:w w:val="96"/>
              </w:rPr>
              <w:t>France,</w:t>
            </w: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CON</w:t>
            </w:r>
          </w:p>
        </w:tc>
        <w:tc>
          <w:tcPr>
            <w:tcW w:w="780" w:type="dxa"/>
            <w:vAlign w:val="bottom"/>
            <w:gridSpan w:val="2"/>
          </w:tcPr>
          <w:p>
            <w:pPr>
              <w:spacing w:after="0"/>
              <w:rPr>
                <w:sz w:val="20"/>
                <w:szCs w:val="20"/>
                <w:color w:val="auto"/>
              </w:rPr>
            </w:pPr>
            <w:r>
              <w:rPr>
                <w:rFonts w:ascii="Arial" w:cs="Arial" w:eastAsia="Arial" w:hAnsi="Arial"/>
                <w:sz w:val="14"/>
                <w:szCs w:val="14"/>
                <w:color w:val="auto"/>
              </w:rPr>
              <w:t>(Human)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11/820768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Germany,</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DIV</w:t>
            </w:r>
          </w:p>
        </w:tc>
        <w:tc>
          <w:tcPr>
            <w:tcW w:w="1180" w:type="dxa"/>
            <w:vAlign w:val="bottom"/>
            <w:gridSpan w:val="4"/>
          </w:tcPr>
          <w:p>
            <w:pPr>
              <w:spacing w:after="0"/>
              <w:rPr>
                <w:sz w:val="20"/>
                <w:szCs w:val="20"/>
                <w:color w:val="auto"/>
              </w:rPr>
            </w:pPr>
            <w:r>
              <w:rPr>
                <w:rFonts w:ascii="Arial" w:cs="Arial" w:eastAsia="Arial" w:hAnsi="Arial"/>
                <w:sz w:val="14"/>
                <w:szCs w:val="14"/>
                <w:color w:val="auto"/>
              </w:rPr>
              <w:t>Immunoglobulin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Japan,  Korea,  New</w:t>
            </w: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EPC</w:t>
            </w:r>
          </w:p>
        </w:tc>
        <w:tc>
          <w:tcPr>
            <w:tcW w:w="500" w:type="dxa"/>
            <w:vAlign w:val="bottom"/>
          </w:tcPr>
          <w:p>
            <w:pPr>
              <w:spacing w:after="0"/>
              <w:rPr>
                <w:sz w:val="20"/>
                <w:szCs w:val="20"/>
                <w:color w:val="auto"/>
              </w:rPr>
            </w:pPr>
            <w:r>
              <w:rPr>
                <w:rFonts w:ascii="Arial" w:cs="Arial" w:eastAsia="Arial" w:hAnsi="Arial"/>
                <w:sz w:val="14"/>
                <w:szCs w:val="14"/>
                <w:color w:val="auto"/>
              </w:rPr>
              <w:t>in</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Cloned,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Zealand,</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EPP</w:t>
            </w:r>
          </w:p>
        </w:tc>
        <w:tc>
          <w:tcPr>
            <w:tcW w:w="780" w:type="dxa"/>
            <w:vAlign w:val="bottom"/>
            <w:gridSpan w:val="2"/>
          </w:tcPr>
          <w:p>
            <w:pPr>
              <w:spacing w:after="0"/>
              <w:rPr>
                <w:sz w:val="20"/>
                <w:szCs w:val="20"/>
                <w:color w:val="auto"/>
              </w:rPr>
            </w:pPr>
            <w:r>
              <w:rPr>
                <w:rFonts w:ascii="Arial" w:cs="Arial" w:eastAsia="Arial" w:hAnsi="Arial"/>
                <w:sz w:val="14"/>
                <w:szCs w:val="14"/>
                <w:color w:val="auto"/>
              </w:rPr>
              <w:t>Transgenic</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w w:val="95"/>
              </w:rPr>
              <w:t>United Kingdom, USA</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Ungulates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(Composition of</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Matter, Process)</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4"/>
        </w:trPr>
        <w:tc>
          <w:tcPr>
            <w:tcW w:w="780" w:type="dxa"/>
            <w:vAlign w:val="bottom"/>
            <w:gridSpan w:val="3"/>
          </w:tcPr>
          <w:p>
            <w:pPr>
              <w:spacing w:after="0"/>
              <w:rPr>
                <w:sz w:val="20"/>
                <w:szCs w:val="20"/>
                <w:color w:val="auto"/>
              </w:rPr>
            </w:pPr>
            <w:r>
              <w:rPr>
                <w:rFonts w:ascii="Arial" w:cs="Arial" w:eastAsia="Arial" w:hAnsi="Arial"/>
                <w:sz w:val="14"/>
                <w:szCs w:val="14"/>
                <w:color w:val="auto"/>
              </w:rPr>
              <w:t>B</w:t>
            </w:r>
          </w:p>
        </w:tc>
        <w:tc>
          <w:tcPr>
            <w:tcW w:w="840" w:type="dxa"/>
            <w:vAlign w:val="bottom"/>
          </w:tcPr>
          <w:p>
            <w:pPr>
              <w:spacing w:after="0"/>
              <w:rPr>
                <w:sz w:val="20"/>
                <w:szCs w:val="20"/>
                <w:color w:val="auto"/>
              </w:rPr>
            </w:pPr>
            <w:r>
              <w:rPr>
                <w:rFonts w:ascii="Arial" w:cs="Arial" w:eastAsia="Arial" w:hAnsi="Arial"/>
                <w:sz w:val="14"/>
                <w:szCs w:val="14"/>
                <w:color w:val="auto"/>
              </w:rPr>
              <w:t>USA</w:t>
            </w:r>
          </w:p>
        </w:tc>
        <w:tc>
          <w:tcPr>
            <w:tcW w:w="480" w:type="dxa"/>
            <w:vAlign w:val="bottom"/>
          </w:tcPr>
          <w:p>
            <w:pPr>
              <w:spacing w:after="0"/>
              <w:rPr>
                <w:sz w:val="24"/>
                <w:szCs w:val="2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DIV</w:t>
            </w:r>
          </w:p>
        </w:tc>
        <w:tc>
          <w:tcPr>
            <w:tcW w:w="500" w:type="dxa"/>
            <w:vAlign w:val="bottom"/>
          </w:tcPr>
          <w:p>
            <w:pPr>
              <w:spacing w:after="0"/>
              <w:rPr>
                <w:sz w:val="20"/>
                <w:szCs w:val="20"/>
                <w:color w:val="auto"/>
              </w:rPr>
            </w:pPr>
            <w:r>
              <w:rPr>
                <w:rFonts w:ascii="Arial" w:cs="Arial" w:eastAsia="Arial" w:hAnsi="Arial"/>
                <w:sz w:val="14"/>
                <w:szCs w:val="14"/>
                <w:color w:val="auto"/>
              </w:rPr>
              <w:t>Method</w:t>
            </w:r>
          </w:p>
        </w:tc>
        <w:tc>
          <w:tcPr>
            <w:tcW w:w="28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of</w:t>
            </w:r>
          </w:p>
        </w:tc>
        <w:tc>
          <w:tcPr>
            <w:tcW w:w="740" w:type="dxa"/>
            <w:vAlign w:val="bottom"/>
          </w:tcPr>
          <w:p>
            <w:pPr>
              <w:spacing w:after="0"/>
              <w:rPr>
                <w:sz w:val="20"/>
                <w:szCs w:val="20"/>
                <w:color w:val="auto"/>
              </w:rPr>
            </w:pPr>
            <w:r>
              <w:rPr>
                <w:rFonts w:ascii="Arial" w:cs="Arial" w:eastAsia="Arial" w:hAnsi="Arial"/>
                <w:sz w:val="14"/>
                <w:szCs w:val="14"/>
                <w:color w:val="auto"/>
              </w:rPr>
              <w:t>Granted</w:t>
            </w: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12/215085</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Jun 2008</w:t>
            </w:r>
          </w:p>
        </w:tc>
        <w:tc>
          <w:tcPr>
            <w:tcW w:w="900" w:type="dxa"/>
            <w:vAlign w:val="bottom"/>
          </w:tcPr>
          <w:p>
            <w:pPr>
              <w:spacing w:after="0"/>
              <w:rPr>
                <w:sz w:val="20"/>
                <w:szCs w:val="20"/>
                <w:color w:val="auto"/>
              </w:rPr>
            </w:pPr>
            <w:r>
              <w:rPr>
                <w:rFonts w:ascii="Arial" w:cs="Arial" w:eastAsia="Arial" w:hAnsi="Arial"/>
                <w:sz w:val="14"/>
                <w:szCs w:val="14"/>
                <w:color w:val="auto"/>
              </w:rPr>
              <w:t>7928285</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Apr 2011</w:t>
            </w:r>
          </w:p>
        </w:tc>
        <w:tc>
          <w:tcPr>
            <w:tcW w:w="900" w:type="dxa"/>
            <w:vAlign w:val="bottom"/>
          </w:tcPr>
          <w:p>
            <w:pPr>
              <w:spacing w:after="0"/>
              <w:rPr>
                <w:sz w:val="20"/>
                <w:szCs w:val="20"/>
                <w:color w:val="auto"/>
              </w:rPr>
            </w:pPr>
            <w:r>
              <w:rPr>
                <w:rFonts w:ascii="Arial" w:cs="Arial" w:eastAsia="Arial" w:hAnsi="Arial"/>
                <w:sz w:val="14"/>
                <w:szCs w:val="14"/>
                <w:color w:val="auto"/>
              </w:rPr>
              <w:t>Nov 2025</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Producing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w w:val="96"/>
              </w:rPr>
              <w:t>Xenogenous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Antibodies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Using a Bovine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(process)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4"/>
        </w:trPr>
        <w:tc>
          <w:tcPr>
            <w:tcW w:w="780" w:type="dxa"/>
            <w:vAlign w:val="bottom"/>
            <w:gridSpan w:val="3"/>
          </w:tcPr>
          <w:p>
            <w:pPr>
              <w:spacing w:after="0"/>
              <w:rPr>
                <w:sz w:val="20"/>
                <w:szCs w:val="20"/>
                <w:color w:val="auto"/>
              </w:rPr>
            </w:pPr>
            <w:r>
              <w:rPr>
                <w:rFonts w:ascii="Arial" w:cs="Arial" w:eastAsia="Arial" w:hAnsi="Arial"/>
                <w:sz w:val="14"/>
                <w:szCs w:val="14"/>
                <w:color w:val="auto"/>
              </w:rPr>
              <w:t>C</w:t>
            </w:r>
          </w:p>
        </w:tc>
        <w:tc>
          <w:tcPr>
            <w:tcW w:w="840" w:type="dxa"/>
            <w:vAlign w:val="bottom"/>
          </w:tcPr>
          <w:p>
            <w:pPr>
              <w:spacing w:after="0"/>
              <w:rPr>
                <w:sz w:val="20"/>
                <w:szCs w:val="20"/>
                <w:color w:val="auto"/>
              </w:rPr>
            </w:pPr>
            <w:r>
              <w:rPr>
                <w:rFonts w:ascii="Arial" w:cs="Arial" w:eastAsia="Arial" w:hAnsi="Arial"/>
                <w:sz w:val="14"/>
                <w:szCs w:val="14"/>
                <w:color w:val="auto"/>
              </w:rPr>
              <w:t>USA</w:t>
            </w:r>
          </w:p>
        </w:tc>
        <w:tc>
          <w:tcPr>
            <w:tcW w:w="480" w:type="dxa"/>
            <w:vAlign w:val="bottom"/>
          </w:tcPr>
          <w:p>
            <w:pPr>
              <w:spacing w:after="0"/>
              <w:rPr>
                <w:sz w:val="24"/>
                <w:szCs w:val="2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PCT</w:t>
            </w:r>
          </w:p>
        </w:tc>
        <w:tc>
          <w:tcPr>
            <w:tcW w:w="500" w:type="dxa"/>
            <w:vAlign w:val="bottom"/>
          </w:tcPr>
          <w:p>
            <w:pPr>
              <w:spacing w:after="0"/>
              <w:rPr>
                <w:sz w:val="20"/>
                <w:szCs w:val="20"/>
                <w:color w:val="auto"/>
              </w:rPr>
            </w:pPr>
            <w:r>
              <w:rPr>
                <w:rFonts w:ascii="Arial" w:cs="Arial" w:eastAsia="Arial" w:hAnsi="Arial"/>
                <w:sz w:val="14"/>
                <w:szCs w:val="14"/>
                <w:color w:val="auto"/>
              </w:rPr>
              <w:t>Cloning</w:t>
            </w:r>
          </w:p>
        </w:tc>
        <w:tc>
          <w:tcPr>
            <w:tcW w:w="28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of</w:t>
            </w:r>
          </w:p>
        </w:tc>
        <w:tc>
          <w:tcPr>
            <w:tcW w:w="740" w:type="dxa"/>
            <w:vAlign w:val="bottom"/>
          </w:tcPr>
          <w:p>
            <w:pPr>
              <w:spacing w:after="0"/>
              <w:rPr>
                <w:sz w:val="20"/>
                <w:szCs w:val="20"/>
                <w:color w:val="auto"/>
              </w:rPr>
            </w:pPr>
            <w:r>
              <w:rPr>
                <w:rFonts w:ascii="Arial" w:cs="Arial" w:eastAsia="Arial" w:hAnsi="Arial"/>
                <w:sz w:val="14"/>
                <w:szCs w:val="14"/>
                <w:color w:val="auto"/>
              </w:rPr>
              <w:t>Granted</w:t>
            </w: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10/468951</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Jun 2004</w:t>
            </w:r>
          </w:p>
        </w:tc>
        <w:tc>
          <w:tcPr>
            <w:tcW w:w="900" w:type="dxa"/>
            <w:vAlign w:val="bottom"/>
          </w:tcPr>
          <w:p>
            <w:pPr>
              <w:spacing w:after="0"/>
              <w:rPr>
                <w:sz w:val="20"/>
                <w:szCs w:val="20"/>
                <w:color w:val="auto"/>
              </w:rPr>
            </w:pPr>
            <w:r>
              <w:rPr>
                <w:rFonts w:ascii="Arial" w:cs="Arial" w:eastAsia="Arial" w:hAnsi="Arial"/>
                <w:sz w:val="14"/>
                <w:szCs w:val="14"/>
                <w:color w:val="auto"/>
              </w:rPr>
              <w:t>7652192</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Jan 2010</w:t>
            </w:r>
          </w:p>
        </w:tc>
        <w:tc>
          <w:tcPr>
            <w:tcW w:w="900" w:type="dxa"/>
            <w:vAlign w:val="bottom"/>
          </w:tcPr>
          <w:p>
            <w:pPr>
              <w:spacing w:after="0"/>
              <w:rPr>
                <w:sz w:val="20"/>
                <w:szCs w:val="20"/>
                <w:color w:val="auto"/>
              </w:rPr>
            </w:pPr>
            <w:r>
              <w:rPr>
                <w:rFonts w:ascii="Arial" w:cs="Arial" w:eastAsia="Arial" w:hAnsi="Arial"/>
                <w:sz w:val="14"/>
                <w:szCs w:val="14"/>
                <w:color w:val="auto"/>
              </w:rPr>
              <w:t>Jun 2023</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Transgenic</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Ungulates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Comprising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Artificial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Chromosomes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(process)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4"/>
        </w:trPr>
        <w:tc>
          <w:tcPr>
            <w:tcW w:w="780" w:type="dxa"/>
            <w:vAlign w:val="bottom"/>
            <w:gridSpan w:val="3"/>
          </w:tcPr>
          <w:p>
            <w:pPr>
              <w:spacing w:after="0"/>
              <w:rPr>
                <w:sz w:val="20"/>
                <w:szCs w:val="20"/>
                <w:color w:val="auto"/>
              </w:rPr>
            </w:pPr>
            <w:r>
              <w:rPr>
                <w:rFonts w:ascii="Arial" w:cs="Arial" w:eastAsia="Arial" w:hAnsi="Arial"/>
                <w:sz w:val="14"/>
                <w:szCs w:val="14"/>
                <w:color w:val="auto"/>
              </w:rPr>
              <w:t>D</w:t>
            </w:r>
          </w:p>
        </w:tc>
        <w:tc>
          <w:tcPr>
            <w:tcW w:w="840" w:type="dxa"/>
            <w:vAlign w:val="bottom"/>
          </w:tcPr>
          <w:p>
            <w:pPr>
              <w:spacing w:after="0"/>
              <w:rPr>
                <w:sz w:val="20"/>
                <w:szCs w:val="20"/>
                <w:color w:val="auto"/>
              </w:rPr>
            </w:pPr>
            <w:r>
              <w:rPr>
                <w:rFonts w:ascii="Arial" w:cs="Arial" w:eastAsia="Arial" w:hAnsi="Arial"/>
                <w:sz w:val="14"/>
                <w:szCs w:val="14"/>
                <w:color w:val="auto"/>
              </w:rPr>
              <w:t>Australia,</w:t>
            </w:r>
          </w:p>
        </w:tc>
        <w:tc>
          <w:tcPr>
            <w:tcW w:w="480" w:type="dxa"/>
            <w:vAlign w:val="bottom"/>
          </w:tcPr>
          <w:p>
            <w:pPr>
              <w:spacing w:after="0"/>
              <w:rPr>
                <w:sz w:val="24"/>
                <w:szCs w:val="2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PCT</w:t>
            </w:r>
          </w:p>
        </w:tc>
        <w:tc>
          <w:tcPr>
            <w:tcW w:w="500" w:type="dxa"/>
            <w:vAlign w:val="bottom"/>
          </w:tcPr>
          <w:p>
            <w:pPr>
              <w:spacing w:after="0"/>
              <w:rPr>
                <w:sz w:val="20"/>
                <w:szCs w:val="20"/>
                <w:color w:val="auto"/>
              </w:rPr>
            </w:pPr>
            <w:r>
              <w:rPr>
                <w:rFonts w:ascii="Arial" w:cs="Arial" w:eastAsia="Arial" w:hAnsi="Arial"/>
                <w:sz w:val="14"/>
                <w:szCs w:val="14"/>
                <w:color w:val="auto"/>
              </w:rPr>
              <w:t>Human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Granted</w:t>
            </w: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13/510327</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May 2012</w:t>
            </w:r>
          </w:p>
        </w:tc>
        <w:tc>
          <w:tcPr>
            <w:tcW w:w="900" w:type="dxa"/>
            <w:vAlign w:val="bottom"/>
          </w:tcPr>
          <w:p>
            <w:pPr>
              <w:spacing w:after="0"/>
              <w:rPr>
                <w:sz w:val="20"/>
                <w:szCs w:val="20"/>
                <w:color w:val="auto"/>
              </w:rPr>
            </w:pPr>
            <w:r>
              <w:rPr>
                <w:rFonts w:ascii="Arial" w:cs="Arial" w:eastAsia="Arial" w:hAnsi="Arial"/>
                <w:sz w:val="14"/>
                <w:szCs w:val="14"/>
                <w:color w:val="auto"/>
              </w:rPr>
              <w:t>9315824</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Apr 2016</w:t>
            </w:r>
          </w:p>
        </w:tc>
        <w:tc>
          <w:tcPr>
            <w:tcW w:w="900" w:type="dxa"/>
            <w:vAlign w:val="bottom"/>
          </w:tcPr>
          <w:p>
            <w:pPr>
              <w:spacing w:after="0"/>
              <w:rPr>
                <w:sz w:val="20"/>
                <w:szCs w:val="20"/>
                <w:color w:val="auto"/>
              </w:rPr>
            </w:pPr>
            <w:r>
              <w:rPr>
                <w:rFonts w:ascii="Arial" w:cs="Arial" w:eastAsia="Arial" w:hAnsi="Arial"/>
                <w:sz w:val="14"/>
                <w:szCs w:val="14"/>
                <w:color w:val="auto"/>
              </w:rPr>
              <w:t>Apr 2031</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Canada,</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ORD</w:t>
            </w:r>
          </w:p>
        </w:tc>
        <w:tc>
          <w:tcPr>
            <w:tcW w:w="780" w:type="dxa"/>
            <w:vAlign w:val="bottom"/>
            <w:gridSpan w:val="2"/>
          </w:tcPr>
          <w:p>
            <w:pPr>
              <w:spacing w:after="0"/>
              <w:rPr>
                <w:sz w:val="20"/>
                <w:szCs w:val="20"/>
                <w:color w:val="auto"/>
              </w:rPr>
            </w:pPr>
            <w:r>
              <w:rPr>
                <w:rFonts w:ascii="Arial" w:cs="Arial" w:eastAsia="Arial" w:hAnsi="Arial"/>
                <w:sz w:val="14"/>
                <w:szCs w:val="14"/>
                <w:color w:val="auto"/>
              </w:rPr>
              <w:t>Artificial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15/070842</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Mar 2016</w:t>
            </w:r>
          </w:p>
        </w:tc>
        <w:tc>
          <w:tcPr>
            <w:tcW w:w="900" w:type="dxa"/>
            <w:vAlign w:val="bottom"/>
          </w:tcPr>
          <w:p>
            <w:pPr>
              <w:spacing w:after="0"/>
              <w:rPr>
                <w:sz w:val="20"/>
                <w:szCs w:val="20"/>
                <w:color w:val="auto"/>
              </w:rPr>
            </w:pPr>
            <w:r>
              <w:rPr>
                <w:rFonts w:ascii="Arial" w:cs="Arial" w:eastAsia="Arial" w:hAnsi="Arial"/>
                <w:sz w:val="14"/>
                <w:szCs w:val="14"/>
                <w:color w:val="auto"/>
              </w:rPr>
              <w:t>9775332</w:t>
            </w:r>
          </w:p>
        </w:tc>
        <w:tc>
          <w:tcPr>
            <w:tcW w:w="2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Oct 2017</w:t>
            </w:r>
          </w:p>
        </w:tc>
        <w:tc>
          <w:tcPr>
            <w:tcW w:w="900" w:type="dxa"/>
            <w:vAlign w:val="bottom"/>
          </w:tcPr>
          <w:p>
            <w:pPr>
              <w:spacing w:after="0"/>
              <w:rPr>
                <w:sz w:val="20"/>
                <w:szCs w:val="20"/>
                <w:color w:val="auto"/>
              </w:rPr>
            </w:pPr>
            <w:r>
              <w:rPr>
                <w:rFonts w:ascii="Arial" w:cs="Arial" w:eastAsia="Arial" w:hAnsi="Arial"/>
                <w:sz w:val="14"/>
                <w:szCs w:val="14"/>
                <w:color w:val="auto"/>
              </w:rPr>
              <w:t>Apr 2031</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China,</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CON</w:t>
            </w:r>
          </w:p>
        </w:tc>
        <w:tc>
          <w:tcPr>
            <w:tcW w:w="780" w:type="dxa"/>
            <w:vAlign w:val="bottom"/>
            <w:gridSpan w:val="2"/>
          </w:tcPr>
          <w:p>
            <w:pPr>
              <w:spacing w:after="0"/>
              <w:rPr>
                <w:sz w:val="20"/>
                <w:szCs w:val="20"/>
                <w:color w:val="auto"/>
              </w:rPr>
            </w:pPr>
            <w:r>
              <w:rPr>
                <w:rFonts w:ascii="Arial" w:cs="Arial" w:eastAsia="Arial" w:hAnsi="Arial"/>
                <w:sz w:val="14"/>
                <w:szCs w:val="14"/>
                <w:color w:val="auto"/>
                <w:w w:val="90"/>
              </w:rPr>
              <w:t>Chromosome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Europe,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Vector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France,</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(Composition of</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Germany,</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Matter)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United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Kingdom,</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Hong Kong,</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Japan,</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w w:val="94"/>
              </w:rPr>
              <w:t>New Zealand,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USA</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4"/>
        </w:trPr>
        <w:tc>
          <w:tcPr>
            <w:tcW w:w="780" w:type="dxa"/>
            <w:vAlign w:val="bottom"/>
            <w:gridSpan w:val="3"/>
          </w:tcPr>
          <w:p>
            <w:pPr>
              <w:spacing w:after="0"/>
              <w:rPr>
                <w:sz w:val="20"/>
                <w:szCs w:val="20"/>
                <w:color w:val="auto"/>
              </w:rPr>
            </w:pPr>
            <w:r>
              <w:rPr>
                <w:rFonts w:ascii="Arial" w:cs="Arial" w:eastAsia="Arial" w:hAnsi="Arial"/>
                <w:sz w:val="14"/>
                <w:szCs w:val="14"/>
                <w:color w:val="auto"/>
              </w:rPr>
              <w:t>E</w:t>
            </w:r>
          </w:p>
        </w:tc>
        <w:tc>
          <w:tcPr>
            <w:tcW w:w="840" w:type="dxa"/>
            <w:vAlign w:val="bottom"/>
          </w:tcPr>
          <w:p>
            <w:pPr>
              <w:spacing w:after="0"/>
              <w:rPr>
                <w:sz w:val="20"/>
                <w:szCs w:val="20"/>
                <w:color w:val="auto"/>
              </w:rPr>
            </w:pPr>
            <w:r>
              <w:rPr>
                <w:rFonts w:ascii="Arial" w:cs="Arial" w:eastAsia="Arial" w:hAnsi="Arial"/>
                <w:sz w:val="14"/>
                <w:szCs w:val="14"/>
                <w:color w:val="auto"/>
              </w:rPr>
              <w:t>Australia,</w:t>
            </w:r>
          </w:p>
        </w:tc>
        <w:tc>
          <w:tcPr>
            <w:tcW w:w="480" w:type="dxa"/>
            <w:vAlign w:val="bottom"/>
          </w:tcPr>
          <w:p>
            <w:pPr>
              <w:spacing w:after="0"/>
              <w:rPr>
                <w:sz w:val="24"/>
                <w:szCs w:val="2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PCT</w:t>
            </w:r>
          </w:p>
        </w:tc>
        <w:tc>
          <w:tcPr>
            <w:tcW w:w="780" w:type="dxa"/>
            <w:vAlign w:val="bottom"/>
            <w:gridSpan w:val="2"/>
          </w:tcPr>
          <w:p>
            <w:pPr>
              <w:spacing w:after="0"/>
              <w:rPr>
                <w:sz w:val="20"/>
                <w:szCs w:val="20"/>
                <w:color w:val="auto"/>
              </w:rPr>
            </w:pPr>
            <w:r>
              <w:rPr>
                <w:rFonts w:ascii="Arial" w:cs="Arial" w:eastAsia="Arial" w:hAnsi="Arial"/>
                <w:sz w:val="14"/>
                <w:szCs w:val="14"/>
                <w:color w:val="auto"/>
              </w:rPr>
              <w:t>Complex</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Granted</w:t>
            </w:r>
          </w:p>
        </w:tc>
        <w:tc>
          <w:tcPr>
            <w:tcW w:w="1300" w:type="dxa"/>
            <w:vAlign w:val="bottom"/>
            <w:gridSpan w:val="3"/>
          </w:tcPr>
          <w:p>
            <w:pPr>
              <w:ind w:left="400"/>
              <w:spacing w:after="0"/>
              <w:rPr>
                <w:sz w:val="20"/>
                <w:szCs w:val="20"/>
                <w:color w:val="auto"/>
              </w:rPr>
            </w:pPr>
            <w:r>
              <w:rPr>
                <w:rFonts w:ascii="Arial" w:cs="Arial" w:eastAsia="Arial" w:hAnsi="Arial"/>
                <w:sz w:val="14"/>
                <w:szCs w:val="14"/>
                <w:color w:val="auto"/>
              </w:rPr>
              <w:t>14/416870</w:t>
            </w:r>
          </w:p>
        </w:tc>
        <w:tc>
          <w:tcPr>
            <w:tcW w:w="1340" w:type="dxa"/>
            <w:vAlign w:val="bottom"/>
            <w:gridSpan w:val="3"/>
          </w:tcPr>
          <w:p>
            <w:pPr>
              <w:ind w:left="220"/>
              <w:spacing w:after="0"/>
              <w:rPr>
                <w:sz w:val="20"/>
                <w:szCs w:val="20"/>
                <w:color w:val="auto"/>
              </w:rPr>
            </w:pPr>
            <w:r>
              <w:rPr>
                <w:rFonts w:ascii="Arial" w:cs="Arial" w:eastAsia="Arial" w:hAnsi="Arial"/>
                <w:sz w:val="14"/>
                <w:szCs w:val="14"/>
                <w:color w:val="auto"/>
              </w:rPr>
              <w:t>Jan 2015</w:t>
            </w:r>
          </w:p>
        </w:tc>
        <w:tc>
          <w:tcPr>
            <w:tcW w:w="900" w:type="dxa"/>
            <w:vAlign w:val="bottom"/>
          </w:tcPr>
          <w:p>
            <w:pPr>
              <w:spacing w:after="0"/>
              <w:rPr>
                <w:sz w:val="20"/>
                <w:szCs w:val="20"/>
                <w:color w:val="auto"/>
              </w:rPr>
            </w:pPr>
            <w:r>
              <w:rPr>
                <w:rFonts w:ascii="Arial" w:cs="Arial" w:eastAsia="Arial" w:hAnsi="Arial"/>
                <w:sz w:val="14"/>
                <w:szCs w:val="14"/>
                <w:color w:val="auto"/>
              </w:rPr>
              <w:t>9902970</w:t>
            </w:r>
          </w:p>
        </w:tc>
        <w:tc>
          <w:tcPr>
            <w:tcW w:w="2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rPr>
              <w:t>Feb 2018</w:t>
            </w:r>
          </w:p>
        </w:tc>
        <w:tc>
          <w:tcPr>
            <w:tcW w:w="900" w:type="dxa"/>
            <w:vAlign w:val="bottom"/>
          </w:tcPr>
          <w:p>
            <w:pPr>
              <w:spacing w:after="0"/>
              <w:rPr>
                <w:sz w:val="20"/>
                <w:szCs w:val="20"/>
                <w:color w:val="auto"/>
              </w:rPr>
            </w:pPr>
            <w:r>
              <w:rPr>
                <w:rFonts w:ascii="Arial" w:cs="Arial" w:eastAsia="Arial" w:hAnsi="Arial"/>
                <w:sz w:val="14"/>
                <w:szCs w:val="14"/>
                <w:color w:val="auto"/>
              </w:rPr>
              <w:t>Aug 2033</w:t>
            </w: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China,</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EPP</w:t>
            </w:r>
          </w:p>
        </w:tc>
        <w:tc>
          <w:tcPr>
            <w:tcW w:w="780" w:type="dxa"/>
            <w:vAlign w:val="bottom"/>
            <w:gridSpan w:val="2"/>
          </w:tcPr>
          <w:p>
            <w:pPr>
              <w:spacing w:after="0"/>
              <w:rPr>
                <w:sz w:val="20"/>
                <w:szCs w:val="20"/>
                <w:color w:val="auto"/>
              </w:rPr>
            </w:pPr>
            <w:r>
              <w:rPr>
                <w:rFonts w:ascii="Arial" w:cs="Arial" w:eastAsia="Arial" w:hAnsi="Arial"/>
                <w:sz w:val="14"/>
                <w:szCs w:val="14"/>
                <w:color w:val="auto"/>
                <w:w w:val="90"/>
              </w:rPr>
              <w:t>Chromosome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Europe,</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REP</w:t>
            </w:r>
          </w:p>
        </w:tc>
        <w:tc>
          <w:tcPr>
            <w:tcW w:w="780" w:type="dxa"/>
            <w:vAlign w:val="bottom"/>
            <w:gridSpan w:val="2"/>
          </w:tcPr>
          <w:p>
            <w:pPr>
              <w:spacing w:after="0"/>
              <w:rPr>
                <w:sz w:val="20"/>
                <w:szCs w:val="20"/>
                <w:color w:val="auto"/>
              </w:rPr>
            </w:pPr>
            <w:r>
              <w:rPr>
                <w:rFonts w:ascii="Arial" w:cs="Arial" w:eastAsia="Arial" w:hAnsi="Arial"/>
                <w:sz w:val="14"/>
                <w:szCs w:val="14"/>
                <w:color w:val="auto"/>
              </w:rPr>
              <w:t>Engineering</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for</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France,</w:t>
            </w:r>
          </w:p>
        </w:tc>
        <w:tc>
          <w:tcPr>
            <w:tcW w:w="48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color w:val="auto"/>
              </w:rPr>
              <w:t>ORD</w:t>
            </w:r>
          </w:p>
        </w:tc>
        <w:tc>
          <w:tcPr>
            <w:tcW w:w="780" w:type="dxa"/>
            <w:vAlign w:val="bottom"/>
            <w:gridSpan w:val="2"/>
          </w:tcPr>
          <w:p>
            <w:pPr>
              <w:spacing w:after="0"/>
              <w:rPr>
                <w:sz w:val="20"/>
                <w:szCs w:val="20"/>
                <w:color w:val="auto"/>
              </w:rPr>
            </w:pPr>
            <w:r>
              <w:rPr>
                <w:rFonts w:ascii="Arial" w:cs="Arial" w:eastAsia="Arial" w:hAnsi="Arial"/>
                <w:sz w:val="14"/>
                <w:szCs w:val="14"/>
                <w:color w:val="auto"/>
              </w:rPr>
              <w:t>Production</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of</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Germany,</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Antibodies</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in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Hong Kong,</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Transgenic</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India,</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w w:val="96"/>
              </w:rPr>
              <w:t>Animals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Japan,</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(Process)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Korea,</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w w:val="94"/>
              </w:rPr>
              <w:t>New Zealand,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USA</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7"/>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64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9" w:right="31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20"/>
                <w:szCs w:val="20"/>
                <w:color w:val="auto"/>
              </w:rPr>
            </w:pPr>
            <w:r>
              <w:rPr>
                <w:rFonts w:ascii="Arial" w:cs="Arial" w:eastAsia="Arial" w:hAnsi="Arial"/>
                <w:sz w:val="14"/>
                <w:szCs w:val="14"/>
                <w:color w:val="auto"/>
              </w:rPr>
              <w:t>F</w:t>
            </w:r>
          </w:p>
        </w:tc>
        <w:tc>
          <w:tcPr>
            <w:tcW w:w="1560" w:type="dxa"/>
            <w:vAlign w:val="bottom"/>
          </w:tcPr>
          <w:p>
            <w:pPr>
              <w:ind w:left="320"/>
              <w:spacing w:after="0"/>
              <w:rPr>
                <w:sz w:val="20"/>
                <w:szCs w:val="20"/>
                <w:color w:val="auto"/>
              </w:rPr>
            </w:pPr>
            <w:r>
              <w:rPr>
                <w:rFonts w:ascii="Arial" w:cs="Arial" w:eastAsia="Arial" w:hAnsi="Arial"/>
                <w:sz w:val="14"/>
                <w:szCs w:val="14"/>
                <w:color w:val="auto"/>
              </w:rPr>
              <w:t>Australia,</w:t>
            </w:r>
          </w:p>
        </w:tc>
        <w:tc>
          <w:tcPr>
            <w:tcW w:w="1000" w:type="dxa"/>
            <w:vAlign w:val="bottom"/>
          </w:tcPr>
          <w:p>
            <w:pPr>
              <w:ind w:left="260"/>
              <w:spacing w:after="0"/>
              <w:rPr>
                <w:sz w:val="20"/>
                <w:szCs w:val="20"/>
                <w:color w:val="auto"/>
              </w:rPr>
            </w:pPr>
            <w:r>
              <w:rPr>
                <w:rFonts w:ascii="Arial" w:cs="Arial" w:eastAsia="Arial" w:hAnsi="Arial"/>
                <w:sz w:val="14"/>
                <w:szCs w:val="14"/>
                <w:color w:val="auto"/>
              </w:rPr>
              <w:t>PCT</w:t>
            </w:r>
          </w:p>
        </w:tc>
        <w:tc>
          <w:tcPr>
            <w:tcW w:w="960" w:type="dxa"/>
            <w:vAlign w:val="bottom"/>
          </w:tcPr>
          <w:p>
            <w:pPr>
              <w:ind w:left="440"/>
              <w:spacing w:after="0"/>
              <w:rPr>
                <w:sz w:val="20"/>
                <w:szCs w:val="20"/>
                <w:color w:val="auto"/>
              </w:rPr>
            </w:pPr>
            <w:r>
              <w:rPr>
                <w:rFonts w:ascii="Arial" w:cs="Arial" w:eastAsia="Arial" w:hAnsi="Arial"/>
                <w:sz w:val="14"/>
                <w:szCs w:val="14"/>
                <w:color w:val="auto"/>
                <w:w w:val="93"/>
              </w:rPr>
              <w:t>Methods</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for</w:t>
            </w:r>
          </w:p>
        </w:tc>
        <w:tc>
          <w:tcPr>
            <w:tcW w:w="820" w:type="dxa"/>
            <w:vAlign w:val="bottom"/>
          </w:tcPr>
          <w:p>
            <w:pPr>
              <w:ind w:left="100"/>
              <w:spacing w:after="0"/>
              <w:rPr>
                <w:sz w:val="20"/>
                <w:szCs w:val="20"/>
                <w:color w:val="auto"/>
              </w:rPr>
            </w:pPr>
            <w:r>
              <w:rPr>
                <w:rFonts w:ascii="Arial" w:cs="Arial" w:eastAsia="Arial" w:hAnsi="Arial"/>
                <w:sz w:val="14"/>
                <w:szCs w:val="14"/>
                <w:color w:val="auto"/>
              </w:rPr>
              <w:t>Granted</w:t>
            </w:r>
          </w:p>
        </w:tc>
        <w:tc>
          <w:tcPr>
            <w:tcW w:w="1720" w:type="dxa"/>
            <w:vAlign w:val="bottom"/>
          </w:tcPr>
          <w:p>
            <w:pPr>
              <w:ind w:left="380"/>
              <w:spacing w:after="0"/>
              <w:rPr>
                <w:sz w:val="20"/>
                <w:szCs w:val="20"/>
                <w:color w:val="auto"/>
              </w:rPr>
            </w:pPr>
            <w:r>
              <w:rPr>
                <w:rFonts w:ascii="Arial" w:cs="Arial" w:eastAsia="Arial" w:hAnsi="Arial"/>
                <w:sz w:val="14"/>
                <w:szCs w:val="14"/>
                <w:color w:val="auto"/>
              </w:rPr>
              <w:t>10/032191</w:t>
            </w:r>
          </w:p>
        </w:tc>
        <w:tc>
          <w:tcPr>
            <w:tcW w:w="940" w:type="dxa"/>
            <w:vAlign w:val="bottom"/>
          </w:tcPr>
          <w:p>
            <w:pPr>
              <w:ind w:left="120"/>
              <w:spacing w:after="0"/>
              <w:rPr>
                <w:sz w:val="20"/>
                <w:szCs w:val="20"/>
                <w:color w:val="auto"/>
              </w:rPr>
            </w:pPr>
            <w:r>
              <w:rPr>
                <w:rFonts w:ascii="Arial" w:cs="Arial" w:eastAsia="Arial" w:hAnsi="Arial"/>
                <w:sz w:val="14"/>
                <w:szCs w:val="14"/>
                <w:color w:val="auto"/>
              </w:rPr>
              <w:t>Dec 2001</w:t>
            </w:r>
          </w:p>
        </w:tc>
        <w:tc>
          <w:tcPr>
            <w:tcW w:w="1080" w:type="dxa"/>
            <w:vAlign w:val="bottom"/>
          </w:tcPr>
          <w:p>
            <w:pPr>
              <w:ind w:left="260"/>
              <w:spacing w:after="0"/>
              <w:rPr>
                <w:sz w:val="20"/>
                <w:szCs w:val="20"/>
                <w:color w:val="auto"/>
              </w:rPr>
            </w:pPr>
            <w:r>
              <w:rPr>
                <w:rFonts w:ascii="Arial" w:cs="Arial" w:eastAsia="Arial" w:hAnsi="Arial"/>
                <w:sz w:val="14"/>
                <w:szCs w:val="14"/>
                <w:color w:val="auto"/>
              </w:rPr>
              <w:t>7253334</w:t>
            </w:r>
          </w:p>
        </w:tc>
        <w:tc>
          <w:tcPr>
            <w:tcW w:w="1100" w:type="dxa"/>
            <w:vAlign w:val="bottom"/>
          </w:tcPr>
          <w:p>
            <w:pPr>
              <w:ind w:left="260"/>
              <w:spacing w:after="0"/>
              <w:rPr>
                <w:sz w:val="20"/>
                <w:szCs w:val="20"/>
                <w:color w:val="auto"/>
              </w:rPr>
            </w:pPr>
            <w:r>
              <w:rPr>
                <w:rFonts w:ascii="Arial" w:cs="Arial" w:eastAsia="Arial" w:hAnsi="Arial"/>
                <w:sz w:val="14"/>
                <w:szCs w:val="14"/>
                <w:color w:val="auto"/>
              </w:rPr>
              <w:t>Aug 2007</w:t>
            </w:r>
          </w:p>
        </w:tc>
        <w:tc>
          <w:tcPr>
            <w:tcW w:w="1120" w:type="dxa"/>
            <w:vAlign w:val="bottom"/>
          </w:tcPr>
          <w:p>
            <w:pPr>
              <w:ind w:left="260"/>
              <w:spacing w:after="0"/>
              <w:rPr>
                <w:sz w:val="20"/>
                <w:szCs w:val="20"/>
                <w:color w:val="auto"/>
              </w:rPr>
            </w:pPr>
            <w:r>
              <w:rPr>
                <w:rFonts w:ascii="Arial" w:cs="Arial" w:eastAsia="Arial" w:hAnsi="Arial"/>
                <w:sz w:val="14"/>
                <w:szCs w:val="14"/>
                <w:color w:val="auto"/>
              </w:rPr>
              <w:t>Jan 2023</w:t>
            </w: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Canada,</w:t>
            </w:r>
          </w:p>
        </w:tc>
        <w:tc>
          <w:tcPr>
            <w:tcW w:w="1000" w:type="dxa"/>
            <w:vAlign w:val="bottom"/>
          </w:tcPr>
          <w:p>
            <w:pPr>
              <w:ind w:left="260"/>
              <w:spacing w:after="0"/>
              <w:rPr>
                <w:sz w:val="20"/>
                <w:szCs w:val="20"/>
                <w:color w:val="auto"/>
              </w:rPr>
            </w:pPr>
            <w:r>
              <w:rPr>
                <w:rFonts w:ascii="Arial" w:cs="Arial" w:eastAsia="Arial" w:hAnsi="Arial"/>
                <w:sz w:val="14"/>
                <w:szCs w:val="14"/>
                <w:color w:val="auto"/>
              </w:rPr>
              <w:t>EPP</w:t>
            </w:r>
          </w:p>
        </w:tc>
        <w:tc>
          <w:tcPr>
            <w:tcW w:w="960" w:type="dxa"/>
            <w:vAlign w:val="bottom"/>
          </w:tcPr>
          <w:p>
            <w:pPr>
              <w:ind w:left="440"/>
              <w:spacing w:after="0"/>
              <w:rPr>
                <w:sz w:val="20"/>
                <w:szCs w:val="20"/>
                <w:color w:val="auto"/>
              </w:rPr>
            </w:pPr>
            <w:r>
              <w:rPr>
                <w:rFonts w:ascii="Arial" w:cs="Arial" w:eastAsia="Arial" w:hAnsi="Arial"/>
                <w:sz w:val="14"/>
                <w:szCs w:val="14"/>
                <w:color w:val="auto"/>
              </w:rPr>
              <w:t>Cloning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China,</w:t>
            </w:r>
          </w:p>
        </w:tc>
        <w:tc>
          <w:tcPr>
            <w:tcW w:w="1000" w:type="dxa"/>
            <w:vAlign w:val="bottom"/>
          </w:tcPr>
          <w:p>
            <w:pPr>
              <w:ind w:left="260"/>
              <w:spacing w:after="0"/>
              <w:rPr>
                <w:sz w:val="20"/>
                <w:szCs w:val="20"/>
                <w:color w:val="auto"/>
              </w:rPr>
            </w:pPr>
            <w:r>
              <w:rPr>
                <w:rFonts w:ascii="Arial" w:cs="Arial" w:eastAsia="Arial" w:hAnsi="Arial"/>
                <w:sz w:val="14"/>
                <w:szCs w:val="14"/>
                <w:color w:val="auto"/>
              </w:rPr>
              <w:t>RCN</w:t>
            </w: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Mammals Using</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Europe,</w:t>
            </w:r>
          </w:p>
        </w:tc>
        <w:tc>
          <w:tcPr>
            <w:tcW w:w="1000" w:type="dxa"/>
            <w:vAlign w:val="bottom"/>
          </w:tcPr>
          <w:p>
            <w:pPr>
              <w:ind w:left="260"/>
              <w:spacing w:after="0"/>
              <w:rPr>
                <w:sz w:val="20"/>
                <w:szCs w:val="20"/>
                <w:color w:val="auto"/>
              </w:rPr>
            </w:pPr>
            <w:r>
              <w:rPr>
                <w:rFonts w:ascii="Arial" w:cs="Arial" w:eastAsia="Arial" w:hAnsi="Arial"/>
                <w:sz w:val="14"/>
                <w:szCs w:val="14"/>
                <w:color w:val="auto"/>
              </w:rPr>
              <w:t>ORD</w:t>
            </w: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Reprogrammed</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France,</w:t>
            </w: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Donor</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Germany,</w:t>
            </w: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5"/>
              </w:rPr>
              <w:t>Chromatin</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or</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Hong Kong,</w:t>
            </w: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Donor Cells</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Japan,</w:t>
            </w: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(Process)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Korea,</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Mexico,</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New Zealand,</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United Kingdom,</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G</w:t>
            </w: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ind w:left="260"/>
              <w:spacing w:after="0"/>
              <w:rPr>
                <w:sz w:val="20"/>
                <w:szCs w:val="20"/>
                <w:color w:val="auto"/>
              </w:rPr>
            </w:pPr>
            <w:r>
              <w:rPr>
                <w:rFonts w:ascii="Arial" w:cs="Arial" w:eastAsia="Arial" w:hAnsi="Arial"/>
                <w:sz w:val="14"/>
                <w:szCs w:val="14"/>
                <w:color w:val="auto"/>
              </w:rPr>
              <w:t>PCT</w:t>
            </w:r>
          </w:p>
        </w:tc>
        <w:tc>
          <w:tcPr>
            <w:tcW w:w="960" w:type="dxa"/>
            <w:vAlign w:val="bottom"/>
          </w:tcPr>
          <w:p>
            <w:pPr>
              <w:ind w:left="440"/>
              <w:spacing w:after="0"/>
              <w:rPr>
                <w:sz w:val="20"/>
                <w:szCs w:val="20"/>
                <w:color w:val="auto"/>
              </w:rPr>
            </w:pPr>
            <w:r>
              <w:rPr>
                <w:rFonts w:ascii="Arial" w:cs="Arial" w:eastAsia="Arial" w:hAnsi="Arial"/>
                <w:sz w:val="14"/>
                <w:szCs w:val="14"/>
                <w:color w:val="auto"/>
                <w:w w:val="93"/>
              </w:rPr>
              <w:t>Systems</w:t>
            </w:r>
          </w:p>
        </w:tc>
        <w:tc>
          <w:tcPr>
            <w:tcW w:w="12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and</w:t>
            </w:r>
          </w:p>
        </w:tc>
        <w:tc>
          <w:tcPr>
            <w:tcW w:w="820" w:type="dxa"/>
            <w:vAlign w:val="bottom"/>
          </w:tcPr>
          <w:p>
            <w:pPr>
              <w:ind w:left="100"/>
              <w:spacing w:after="0"/>
              <w:rPr>
                <w:sz w:val="20"/>
                <w:szCs w:val="20"/>
                <w:color w:val="auto"/>
              </w:rPr>
            </w:pPr>
            <w:r>
              <w:rPr>
                <w:rFonts w:ascii="Arial" w:cs="Arial" w:eastAsia="Arial" w:hAnsi="Arial"/>
                <w:sz w:val="14"/>
                <w:szCs w:val="14"/>
                <w:color w:val="auto"/>
              </w:rPr>
              <w:t>Pending</w:t>
            </w:r>
          </w:p>
        </w:tc>
        <w:tc>
          <w:tcPr>
            <w:tcW w:w="1720" w:type="dxa"/>
            <w:vAlign w:val="bottom"/>
          </w:tcPr>
          <w:p>
            <w:pPr>
              <w:ind w:left="380"/>
              <w:spacing w:after="0"/>
              <w:rPr>
                <w:sz w:val="20"/>
                <w:szCs w:val="20"/>
                <w:color w:val="auto"/>
              </w:rPr>
            </w:pPr>
            <w:r>
              <w:rPr>
                <w:rFonts w:ascii="Arial" w:cs="Arial" w:eastAsia="Arial" w:hAnsi="Arial"/>
                <w:sz w:val="14"/>
                <w:szCs w:val="14"/>
                <w:color w:val="auto"/>
              </w:rPr>
              <w:t>15/361279</w:t>
            </w:r>
          </w:p>
        </w:tc>
        <w:tc>
          <w:tcPr>
            <w:tcW w:w="940" w:type="dxa"/>
            <w:vAlign w:val="bottom"/>
          </w:tcPr>
          <w:p>
            <w:pPr>
              <w:ind w:left="120"/>
              <w:spacing w:after="0"/>
              <w:rPr>
                <w:sz w:val="20"/>
                <w:szCs w:val="20"/>
                <w:color w:val="auto"/>
              </w:rPr>
            </w:pPr>
            <w:r>
              <w:rPr>
                <w:rFonts w:ascii="Arial" w:cs="Arial" w:eastAsia="Arial" w:hAnsi="Arial"/>
                <w:sz w:val="14"/>
                <w:szCs w:val="14"/>
                <w:color w:val="auto"/>
              </w:rPr>
              <w:t>Nov 2016</w:t>
            </w:r>
          </w:p>
        </w:tc>
        <w:tc>
          <w:tcPr>
            <w:tcW w:w="1080" w:type="dxa"/>
            <w:vAlign w:val="bottom"/>
          </w:tcPr>
          <w:p>
            <w:pPr>
              <w:ind w:left="260"/>
              <w:spacing w:after="0"/>
              <w:rPr>
                <w:sz w:val="20"/>
                <w:szCs w:val="20"/>
                <w:color w:val="auto"/>
              </w:rPr>
            </w:pPr>
            <w:r>
              <w:rPr>
                <w:rFonts w:ascii="Arial" w:cs="Arial" w:eastAsia="Arial" w:hAnsi="Arial"/>
                <w:sz w:val="14"/>
                <w:szCs w:val="14"/>
                <w:color w:val="auto"/>
              </w:rPr>
              <w:t>11072649</w:t>
            </w:r>
          </w:p>
        </w:tc>
        <w:tc>
          <w:tcPr>
            <w:tcW w:w="1100" w:type="dxa"/>
            <w:vAlign w:val="bottom"/>
          </w:tcPr>
          <w:p>
            <w:pPr>
              <w:ind w:left="260"/>
              <w:spacing w:after="0"/>
              <w:rPr>
                <w:sz w:val="20"/>
                <w:szCs w:val="20"/>
                <w:color w:val="auto"/>
              </w:rPr>
            </w:pPr>
            <w:r>
              <w:rPr>
                <w:rFonts w:ascii="Arial" w:cs="Arial" w:eastAsia="Arial" w:hAnsi="Arial"/>
                <w:sz w:val="14"/>
                <w:szCs w:val="14"/>
                <w:color w:val="auto"/>
              </w:rPr>
              <w:t>July 2021</w:t>
            </w:r>
          </w:p>
        </w:tc>
        <w:tc>
          <w:tcPr>
            <w:tcW w:w="1120" w:type="dxa"/>
            <w:vAlign w:val="bottom"/>
          </w:tcPr>
          <w:p>
            <w:pPr>
              <w:ind w:left="260"/>
              <w:spacing w:after="0"/>
              <w:rPr>
                <w:sz w:val="20"/>
                <w:szCs w:val="20"/>
                <w:color w:val="auto"/>
              </w:rPr>
            </w:pPr>
            <w:r>
              <w:rPr>
                <w:rFonts w:ascii="Arial" w:cs="Arial" w:eastAsia="Arial" w:hAnsi="Arial"/>
                <w:sz w:val="14"/>
                <w:szCs w:val="14"/>
                <w:color w:val="auto"/>
              </w:rPr>
              <w:t>Nov 2035</w:t>
            </w: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w w:val="93"/>
              </w:rPr>
              <w:t>Methods</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2"/>
              </w:rPr>
              <w:t>Production</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Human</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7"/>
              </w:rPr>
              <w:t>Polyclonal</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4"/>
              </w:rPr>
              <w:t>Antibodies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(Process)</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H</w:t>
            </w:r>
          </w:p>
        </w:tc>
        <w:tc>
          <w:tcPr>
            <w:tcW w:w="1560" w:type="dxa"/>
            <w:vAlign w:val="bottom"/>
          </w:tcPr>
          <w:p>
            <w:pPr>
              <w:ind w:left="320"/>
              <w:spacing w:after="0"/>
              <w:rPr>
                <w:sz w:val="20"/>
                <w:szCs w:val="20"/>
                <w:color w:val="auto"/>
              </w:rPr>
            </w:pPr>
            <w:r>
              <w:rPr>
                <w:rFonts w:ascii="Arial" w:cs="Arial" w:eastAsia="Arial" w:hAnsi="Arial"/>
                <w:sz w:val="14"/>
                <w:szCs w:val="14"/>
                <w:color w:val="auto"/>
              </w:rPr>
              <w:t>China,</w:t>
            </w:r>
          </w:p>
        </w:tc>
        <w:tc>
          <w:tcPr>
            <w:tcW w:w="1000" w:type="dxa"/>
            <w:vAlign w:val="bottom"/>
          </w:tcPr>
          <w:p>
            <w:pPr>
              <w:ind w:left="260"/>
              <w:spacing w:after="0"/>
              <w:rPr>
                <w:sz w:val="20"/>
                <w:szCs w:val="20"/>
                <w:color w:val="auto"/>
              </w:rPr>
            </w:pPr>
            <w:r>
              <w:rPr>
                <w:rFonts w:ascii="Arial" w:cs="Arial" w:eastAsia="Arial" w:hAnsi="Arial"/>
                <w:sz w:val="14"/>
                <w:szCs w:val="14"/>
                <w:color w:val="auto"/>
              </w:rPr>
              <w:t>PCT</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89"/>
              </w:rPr>
              <w:t>Transgenic</w:t>
            </w:r>
          </w:p>
        </w:tc>
        <w:tc>
          <w:tcPr>
            <w:tcW w:w="4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Granted</w:t>
            </w:r>
          </w:p>
        </w:tc>
        <w:tc>
          <w:tcPr>
            <w:tcW w:w="1720" w:type="dxa"/>
            <w:vAlign w:val="bottom"/>
          </w:tcPr>
          <w:p>
            <w:pPr>
              <w:ind w:left="380"/>
              <w:spacing w:after="0"/>
              <w:rPr>
                <w:sz w:val="20"/>
                <w:szCs w:val="20"/>
                <w:color w:val="auto"/>
              </w:rPr>
            </w:pPr>
            <w:r>
              <w:rPr>
                <w:rFonts w:ascii="Arial" w:cs="Arial" w:eastAsia="Arial" w:hAnsi="Arial"/>
                <w:sz w:val="14"/>
                <w:szCs w:val="14"/>
                <w:color w:val="auto"/>
              </w:rPr>
              <w:t>10/705519</w:t>
            </w:r>
          </w:p>
        </w:tc>
        <w:tc>
          <w:tcPr>
            <w:tcW w:w="940" w:type="dxa"/>
            <w:vAlign w:val="bottom"/>
          </w:tcPr>
          <w:p>
            <w:pPr>
              <w:ind w:left="120"/>
              <w:spacing w:after="0"/>
              <w:rPr>
                <w:sz w:val="20"/>
                <w:szCs w:val="20"/>
                <w:color w:val="auto"/>
              </w:rPr>
            </w:pPr>
            <w:r>
              <w:rPr>
                <w:rFonts w:ascii="Arial" w:cs="Arial" w:eastAsia="Arial" w:hAnsi="Arial"/>
                <w:sz w:val="14"/>
                <w:szCs w:val="14"/>
                <w:color w:val="auto"/>
              </w:rPr>
              <w:t>Nov 2003</w:t>
            </w:r>
          </w:p>
        </w:tc>
        <w:tc>
          <w:tcPr>
            <w:tcW w:w="1080" w:type="dxa"/>
            <w:vAlign w:val="bottom"/>
          </w:tcPr>
          <w:p>
            <w:pPr>
              <w:ind w:left="260"/>
              <w:spacing w:after="0"/>
              <w:rPr>
                <w:sz w:val="20"/>
                <w:szCs w:val="20"/>
                <w:color w:val="auto"/>
              </w:rPr>
            </w:pPr>
            <w:r>
              <w:rPr>
                <w:rFonts w:ascii="Arial" w:cs="Arial" w:eastAsia="Arial" w:hAnsi="Arial"/>
                <w:sz w:val="14"/>
                <w:szCs w:val="14"/>
                <w:color w:val="auto"/>
              </w:rPr>
              <w:t>7429690</w:t>
            </w:r>
          </w:p>
        </w:tc>
        <w:tc>
          <w:tcPr>
            <w:tcW w:w="1100" w:type="dxa"/>
            <w:vAlign w:val="bottom"/>
          </w:tcPr>
          <w:p>
            <w:pPr>
              <w:ind w:left="260"/>
              <w:spacing w:after="0"/>
              <w:rPr>
                <w:sz w:val="20"/>
                <w:szCs w:val="20"/>
                <w:color w:val="auto"/>
              </w:rPr>
            </w:pPr>
            <w:r>
              <w:rPr>
                <w:rFonts w:ascii="Arial" w:cs="Arial" w:eastAsia="Arial" w:hAnsi="Arial"/>
                <w:sz w:val="14"/>
                <w:szCs w:val="14"/>
                <w:color w:val="auto"/>
              </w:rPr>
              <w:t>Sep 2008</w:t>
            </w:r>
          </w:p>
        </w:tc>
        <w:tc>
          <w:tcPr>
            <w:tcW w:w="1120" w:type="dxa"/>
            <w:vAlign w:val="bottom"/>
          </w:tcPr>
          <w:p>
            <w:pPr>
              <w:ind w:left="260"/>
              <w:spacing w:after="0"/>
              <w:rPr>
                <w:sz w:val="20"/>
                <w:szCs w:val="20"/>
                <w:color w:val="auto"/>
              </w:rPr>
            </w:pPr>
            <w:r>
              <w:rPr>
                <w:rFonts w:ascii="Arial" w:cs="Arial" w:eastAsia="Arial" w:hAnsi="Arial"/>
                <w:sz w:val="14"/>
                <w:szCs w:val="14"/>
                <w:color w:val="auto"/>
              </w:rPr>
              <w:t>Jul 2024</w:t>
            </w: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India,</w:t>
            </w:r>
          </w:p>
        </w:tc>
        <w:tc>
          <w:tcPr>
            <w:tcW w:w="1000" w:type="dxa"/>
            <w:vAlign w:val="bottom"/>
          </w:tcPr>
          <w:p>
            <w:pPr>
              <w:ind w:left="260"/>
              <w:spacing w:after="0"/>
              <w:rPr>
                <w:sz w:val="20"/>
                <w:szCs w:val="20"/>
                <w:color w:val="auto"/>
              </w:rPr>
            </w:pPr>
            <w:r>
              <w:rPr>
                <w:rFonts w:ascii="Arial" w:cs="Arial" w:eastAsia="Arial" w:hAnsi="Arial"/>
                <w:sz w:val="14"/>
                <w:szCs w:val="14"/>
                <w:color w:val="auto"/>
              </w:rPr>
              <w:t>ORD</w:t>
            </w:r>
          </w:p>
        </w:tc>
        <w:tc>
          <w:tcPr>
            <w:tcW w:w="960" w:type="dxa"/>
            <w:vAlign w:val="bottom"/>
          </w:tcPr>
          <w:p>
            <w:pPr>
              <w:ind w:left="440"/>
              <w:spacing w:after="0"/>
              <w:rPr>
                <w:sz w:val="20"/>
                <w:szCs w:val="20"/>
                <w:color w:val="auto"/>
              </w:rPr>
            </w:pPr>
            <w:r>
              <w:rPr>
                <w:rFonts w:ascii="Arial" w:cs="Arial" w:eastAsia="Arial" w:hAnsi="Arial"/>
                <w:sz w:val="14"/>
                <w:szCs w:val="14"/>
                <w:color w:val="auto"/>
              </w:rPr>
              <w:t>bovine</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having</w:t>
            </w:r>
          </w:p>
        </w:tc>
        <w:tc>
          <w:tcPr>
            <w:tcW w:w="820" w:type="dxa"/>
            <w:vAlign w:val="bottom"/>
          </w:tcPr>
          <w:p>
            <w:pPr>
              <w:spacing w:after="0"/>
              <w:rPr>
                <w:sz w:val="14"/>
                <w:szCs w:val="14"/>
                <w:color w:val="auto"/>
              </w:rPr>
            </w:pPr>
          </w:p>
        </w:tc>
        <w:tc>
          <w:tcPr>
            <w:tcW w:w="1720" w:type="dxa"/>
            <w:vAlign w:val="bottom"/>
          </w:tcPr>
          <w:p>
            <w:pPr>
              <w:ind w:left="380"/>
              <w:spacing w:after="0"/>
              <w:rPr>
                <w:sz w:val="20"/>
                <w:szCs w:val="20"/>
                <w:color w:val="auto"/>
              </w:rPr>
            </w:pPr>
            <w:r>
              <w:rPr>
                <w:rFonts w:ascii="Arial" w:cs="Arial" w:eastAsia="Arial" w:hAnsi="Arial"/>
                <w:sz w:val="14"/>
                <w:szCs w:val="14"/>
                <w:color w:val="auto"/>
              </w:rPr>
              <w:t>12/231873</w:t>
            </w:r>
          </w:p>
        </w:tc>
        <w:tc>
          <w:tcPr>
            <w:tcW w:w="940" w:type="dxa"/>
            <w:vAlign w:val="bottom"/>
          </w:tcPr>
          <w:p>
            <w:pPr>
              <w:ind w:left="120"/>
              <w:spacing w:after="0"/>
              <w:rPr>
                <w:sz w:val="20"/>
                <w:szCs w:val="20"/>
                <w:color w:val="auto"/>
              </w:rPr>
            </w:pPr>
            <w:r>
              <w:rPr>
                <w:rFonts w:ascii="Arial" w:cs="Arial" w:eastAsia="Arial" w:hAnsi="Arial"/>
                <w:sz w:val="14"/>
                <w:szCs w:val="14"/>
                <w:color w:val="auto"/>
              </w:rPr>
              <w:t>Sep 2008</w:t>
            </w:r>
          </w:p>
        </w:tc>
        <w:tc>
          <w:tcPr>
            <w:tcW w:w="1080" w:type="dxa"/>
            <w:vAlign w:val="bottom"/>
          </w:tcPr>
          <w:p>
            <w:pPr>
              <w:ind w:left="260"/>
              <w:spacing w:after="0"/>
              <w:rPr>
                <w:sz w:val="20"/>
                <w:szCs w:val="20"/>
                <w:color w:val="auto"/>
              </w:rPr>
            </w:pPr>
            <w:r>
              <w:rPr>
                <w:rFonts w:ascii="Arial" w:cs="Arial" w:eastAsia="Arial" w:hAnsi="Arial"/>
                <w:sz w:val="14"/>
                <w:szCs w:val="14"/>
                <w:color w:val="auto"/>
              </w:rPr>
              <w:t>7807863</w:t>
            </w:r>
          </w:p>
        </w:tc>
        <w:tc>
          <w:tcPr>
            <w:tcW w:w="1100" w:type="dxa"/>
            <w:vAlign w:val="bottom"/>
          </w:tcPr>
          <w:p>
            <w:pPr>
              <w:ind w:left="260"/>
              <w:spacing w:after="0"/>
              <w:rPr>
                <w:sz w:val="20"/>
                <w:szCs w:val="20"/>
                <w:color w:val="auto"/>
              </w:rPr>
            </w:pPr>
            <w:r>
              <w:rPr>
                <w:rFonts w:ascii="Arial" w:cs="Arial" w:eastAsia="Arial" w:hAnsi="Arial"/>
                <w:sz w:val="14"/>
                <w:szCs w:val="14"/>
                <w:color w:val="auto"/>
              </w:rPr>
              <w:t>Oct 2010</w:t>
            </w:r>
          </w:p>
        </w:tc>
        <w:tc>
          <w:tcPr>
            <w:tcW w:w="1120" w:type="dxa"/>
            <w:vAlign w:val="bottom"/>
          </w:tcPr>
          <w:p>
            <w:pPr>
              <w:ind w:left="260"/>
              <w:spacing w:after="0"/>
              <w:rPr>
                <w:sz w:val="20"/>
                <w:szCs w:val="20"/>
                <w:color w:val="auto"/>
              </w:rPr>
            </w:pPr>
            <w:r>
              <w:rPr>
                <w:rFonts w:ascii="Arial" w:cs="Arial" w:eastAsia="Arial" w:hAnsi="Arial"/>
                <w:sz w:val="14"/>
                <w:szCs w:val="14"/>
                <w:color w:val="auto"/>
              </w:rPr>
              <w:t>Nov 2023</w:t>
            </w: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New Zealand,</w:t>
            </w:r>
          </w:p>
        </w:tc>
        <w:tc>
          <w:tcPr>
            <w:tcW w:w="1000" w:type="dxa"/>
            <w:vAlign w:val="bottom"/>
          </w:tcPr>
          <w:p>
            <w:pPr>
              <w:ind w:left="260"/>
              <w:spacing w:after="0"/>
              <w:rPr>
                <w:sz w:val="20"/>
                <w:szCs w:val="20"/>
                <w:color w:val="auto"/>
              </w:rPr>
            </w:pPr>
            <w:r>
              <w:rPr>
                <w:rFonts w:ascii="Arial" w:cs="Arial" w:eastAsia="Arial" w:hAnsi="Arial"/>
                <w:sz w:val="14"/>
                <w:szCs w:val="14"/>
                <w:color w:val="auto"/>
              </w:rPr>
              <w:t>CON</w:t>
            </w:r>
          </w:p>
        </w:tc>
        <w:tc>
          <w:tcPr>
            <w:tcW w:w="960" w:type="dxa"/>
            <w:vAlign w:val="bottom"/>
          </w:tcPr>
          <w:p>
            <w:pPr>
              <w:ind w:left="440"/>
              <w:spacing w:after="0"/>
              <w:rPr>
                <w:sz w:val="20"/>
                <w:szCs w:val="20"/>
                <w:color w:val="auto"/>
              </w:rPr>
            </w:pPr>
            <w:r>
              <w:rPr>
                <w:rFonts w:ascii="Arial" w:cs="Arial" w:eastAsia="Arial" w:hAnsi="Arial"/>
                <w:sz w:val="14"/>
                <w:szCs w:val="14"/>
                <w:color w:val="auto"/>
                <w:w w:val="98"/>
              </w:rPr>
              <w:t>reduced</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w w:val="96"/>
              </w:rPr>
              <w:t>prion</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Russia,</w:t>
            </w: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protein</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w w:val="98"/>
              </w:rPr>
              <w:t>activity</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and uses thereof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(Process, Use)</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I</w:t>
            </w: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ind w:left="260"/>
              <w:spacing w:after="0"/>
              <w:rPr>
                <w:sz w:val="20"/>
                <w:szCs w:val="20"/>
                <w:color w:val="auto"/>
              </w:rPr>
            </w:pPr>
            <w:r>
              <w:rPr>
                <w:rFonts w:ascii="Arial" w:cs="Arial" w:eastAsia="Arial" w:hAnsi="Arial"/>
                <w:sz w:val="14"/>
                <w:szCs w:val="14"/>
                <w:color w:val="auto"/>
              </w:rPr>
              <w:t>PCT</w:t>
            </w: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Anti-Thymocyte</w:t>
            </w:r>
          </w:p>
        </w:tc>
        <w:tc>
          <w:tcPr>
            <w:tcW w:w="820" w:type="dxa"/>
            <w:vAlign w:val="bottom"/>
          </w:tcPr>
          <w:p>
            <w:pPr>
              <w:ind w:left="100"/>
              <w:spacing w:after="0"/>
              <w:rPr>
                <w:sz w:val="20"/>
                <w:szCs w:val="20"/>
                <w:color w:val="auto"/>
              </w:rPr>
            </w:pPr>
            <w:r>
              <w:rPr>
                <w:rFonts w:ascii="Arial" w:cs="Arial" w:eastAsia="Arial" w:hAnsi="Arial"/>
                <w:sz w:val="14"/>
                <w:szCs w:val="14"/>
                <w:color w:val="auto"/>
              </w:rPr>
              <w:t>Pending</w:t>
            </w:r>
          </w:p>
        </w:tc>
        <w:tc>
          <w:tcPr>
            <w:tcW w:w="1720" w:type="dxa"/>
            <w:vAlign w:val="bottom"/>
          </w:tcPr>
          <w:p>
            <w:pPr>
              <w:ind w:left="380"/>
              <w:spacing w:after="0"/>
              <w:rPr>
                <w:sz w:val="20"/>
                <w:szCs w:val="20"/>
                <w:color w:val="auto"/>
              </w:rPr>
            </w:pPr>
            <w:r>
              <w:rPr>
                <w:rFonts w:ascii="Arial" w:cs="Arial" w:eastAsia="Arial" w:hAnsi="Arial"/>
                <w:sz w:val="14"/>
                <w:szCs w:val="14"/>
                <w:color w:val="auto"/>
                <w:w w:val="99"/>
              </w:rPr>
              <w:t>PCT/US2021/017218</w:t>
            </w:r>
          </w:p>
        </w:tc>
        <w:tc>
          <w:tcPr>
            <w:tcW w:w="940" w:type="dxa"/>
            <w:vAlign w:val="bottom"/>
          </w:tcPr>
          <w:p>
            <w:pPr>
              <w:ind w:left="120"/>
              <w:spacing w:after="0"/>
              <w:rPr>
                <w:sz w:val="20"/>
                <w:szCs w:val="20"/>
                <w:color w:val="auto"/>
              </w:rPr>
            </w:pPr>
            <w:r>
              <w:rPr>
                <w:rFonts w:ascii="Arial" w:cs="Arial" w:eastAsia="Arial" w:hAnsi="Arial"/>
                <w:sz w:val="14"/>
                <w:szCs w:val="14"/>
                <w:color w:val="auto"/>
              </w:rPr>
              <w:t>Feb 2021</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w w:val="97"/>
              </w:rPr>
              <w:t>Globulin</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(Composition 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Matter, Process)</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J</w:t>
            </w: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ind w:left="260"/>
              <w:spacing w:after="0"/>
              <w:rPr>
                <w:sz w:val="20"/>
                <w:szCs w:val="20"/>
                <w:color w:val="auto"/>
              </w:rPr>
            </w:pPr>
            <w:r>
              <w:rPr>
                <w:rFonts w:ascii="Arial" w:cs="Arial" w:eastAsia="Arial" w:hAnsi="Arial"/>
                <w:sz w:val="14"/>
                <w:szCs w:val="14"/>
                <w:color w:val="auto"/>
              </w:rPr>
              <w:t>NPV</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Ungulate-</w:t>
            </w:r>
          </w:p>
        </w:tc>
        <w:tc>
          <w:tcPr>
            <w:tcW w:w="4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Pending</w:t>
            </w:r>
          </w:p>
        </w:tc>
        <w:tc>
          <w:tcPr>
            <w:tcW w:w="1720" w:type="dxa"/>
            <w:vAlign w:val="bottom"/>
          </w:tcPr>
          <w:p>
            <w:pPr>
              <w:ind w:left="380"/>
              <w:spacing w:after="0"/>
              <w:rPr>
                <w:sz w:val="20"/>
                <w:szCs w:val="20"/>
                <w:color w:val="auto"/>
              </w:rPr>
            </w:pPr>
            <w:r>
              <w:rPr>
                <w:rFonts w:ascii="Arial" w:cs="Arial" w:eastAsia="Arial" w:hAnsi="Arial"/>
                <w:sz w:val="14"/>
                <w:szCs w:val="14"/>
                <w:color w:val="auto"/>
              </w:rPr>
              <w:t>PCT/US2021/</w:t>
            </w:r>
          </w:p>
        </w:tc>
        <w:tc>
          <w:tcPr>
            <w:tcW w:w="940" w:type="dxa"/>
            <w:vAlign w:val="bottom"/>
          </w:tcPr>
          <w:p>
            <w:pPr>
              <w:ind w:left="120"/>
              <w:spacing w:after="0"/>
              <w:rPr>
                <w:sz w:val="20"/>
                <w:szCs w:val="20"/>
                <w:color w:val="auto"/>
              </w:rPr>
            </w:pPr>
            <w:r>
              <w:rPr>
                <w:rFonts w:ascii="Arial" w:cs="Arial" w:eastAsia="Arial" w:hAnsi="Arial"/>
                <w:sz w:val="14"/>
                <w:szCs w:val="14"/>
                <w:color w:val="auto"/>
              </w:rPr>
              <w:t>Jun 2021</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color w:val="auto"/>
              </w:rPr>
              <w:t>PCT</w:t>
            </w:r>
          </w:p>
        </w:tc>
        <w:tc>
          <w:tcPr>
            <w:tcW w:w="960" w:type="dxa"/>
            <w:vAlign w:val="bottom"/>
          </w:tcPr>
          <w:p>
            <w:pPr>
              <w:ind w:left="440"/>
              <w:spacing w:after="0"/>
              <w:rPr>
                <w:sz w:val="20"/>
                <w:szCs w:val="20"/>
                <w:color w:val="auto"/>
              </w:rPr>
            </w:pPr>
            <w:r>
              <w:rPr>
                <w:rFonts w:ascii="Arial" w:cs="Arial" w:eastAsia="Arial" w:hAnsi="Arial"/>
                <w:sz w:val="14"/>
                <w:szCs w:val="14"/>
                <w:color w:val="auto"/>
              </w:rPr>
              <w:t>Derived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ind w:left="380"/>
              <w:spacing w:after="0"/>
              <w:rPr>
                <w:sz w:val="20"/>
                <w:szCs w:val="20"/>
                <w:color w:val="auto"/>
              </w:rPr>
            </w:pPr>
            <w:r>
              <w:rPr>
                <w:rFonts w:ascii="Arial" w:cs="Arial" w:eastAsia="Arial" w:hAnsi="Arial"/>
                <w:sz w:val="14"/>
                <w:szCs w:val="14"/>
                <w:color w:val="auto"/>
              </w:rPr>
              <w:t>039818</w:t>
            </w:r>
          </w:p>
        </w:tc>
        <w:tc>
          <w:tcPr>
            <w:tcW w:w="940" w:type="dxa"/>
            <w:vAlign w:val="bottom"/>
          </w:tcPr>
          <w:p>
            <w:pPr>
              <w:ind w:left="120"/>
              <w:spacing w:after="0"/>
              <w:rPr>
                <w:sz w:val="20"/>
                <w:szCs w:val="20"/>
                <w:color w:val="auto"/>
              </w:rPr>
            </w:pPr>
            <w:r>
              <w:rPr>
                <w:rFonts w:ascii="Arial" w:cs="Arial" w:eastAsia="Arial" w:hAnsi="Arial"/>
                <w:sz w:val="14"/>
                <w:szCs w:val="14"/>
                <w:color w:val="auto"/>
              </w:rPr>
              <w:t>Jun 2021</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7"/>
              </w:rPr>
              <w:t>Polyclonal</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Immunoglobulin</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specific</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Coronavirus</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Spike</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w w:val="94"/>
              </w:rPr>
              <w:t>Protein</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and</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w w:val="93"/>
              </w:rPr>
              <w:t>Uses</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Thereof</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(Composition 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Matter, Process)</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K</w:t>
            </w: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ind w:left="260"/>
              <w:spacing w:after="0"/>
              <w:rPr>
                <w:sz w:val="20"/>
                <w:szCs w:val="20"/>
                <w:color w:val="auto"/>
              </w:rPr>
            </w:pPr>
            <w:r>
              <w:rPr>
                <w:rFonts w:ascii="Arial" w:cs="Arial" w:eastAsia="Arial" w:hAnsi="Arial"/>
                <w:sz w:val="14"/>
                <w:szCs w:val="14"/>
                <w:color w:val="auto"/>
              </w:rPr>
              <w:t>PRO</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Ungulate-</w:t>
            </w:r>
          </w:p>
        </w:tc>
        <w:tc>
          <w:tcPr>
            <w:tcW w:w="4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Pending</w:t>
            </w:r>
          </w:p>
        </w:tc>
        <w:tc>
          <w:tcPr>
            <w:tcW w:w="1720" w:type="dxa"/>
            <w:vAlign w:val="bottom"/>
          </w:tcPr>
          <w:p>
            <w:pPr>
              <w:ind w:left="380"/>
              <w:spacing w:after="0"/>
              <w:rPr>
                <w:sz w:val="20"/>
                <w:szCs w:val="20"/>
                <w:color w:val="auto"/>
              </w:rPr>
            </w:pPr>
            <w:r>
              <w:rPr>
                <w:rFonts w:ascii="Arial" w:cs="Arial" w:eastAsia="Arial" w:hAnsi="Arial"/>
                <w:sz w:val="14"/>
                <w:szCs w:val="14"/>
                <w:color w:val="auto"/>
              </w:rPr>
              <w:t>63/113643</w:t>
            </w:r>
          </w:p>
        </w:tc>
        <w:tc>
          <w:tcPr>
            <w:tcW w:w="940" w:type="dxa"/>
            <w:vAlign w:val="bottom"/>
          </w:tcPr>
          <w:p>
            <w:pPr>
              <w:ind w:left="120"/>
              <w:spacing w:after="0"/>
              <w:rPr>
                <w:sz w:val="20"/>
                <w:szCs w:val="20"/>
                <w:color w:val="auto"/>
              </w:rPr>
            </w:pPr>
            <w:r>
              <w:rPr>
                <w:rFonts w:ascii="Arial" w:cs="Arial" w:eastAsia="Arial" w:hAnsi="Arial"/>
                <w:sz w:val="14"/>
                <w:szCs w:val="14"/>
                <w:color w:val="auto"/>
              </w:rPr>
              <w:t>Nov 2020</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Derived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7"/>
              </w:rPr>
              <w:t>Polyclonal</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Immunoglobulin</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Specific</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EGFR and Uses</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Thereof</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(Composition 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Matter, Process)</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34"/>
        </w:trPr>
        <w:tc>
          <w:tcPr>
            <w:tcW w:w="420" w:type="dxa"/>
            <w:vAlign w:val="bottom"/>
          </w:tcPr>
          <w:p>
            <w:pPr>
              <w:spacing w:after="0"/>
              <w:rPr>
                <w:sz w:val="20"/>
                <w:szCs w:val="20"/>
                <w:color w:val="auto"/>
              </w:rPr>
            </w:pPr>
            <w:r>
              <w:rPr>
                <w:rFonts w:ascii="Arial" w:cs="Arial" w:eastAsia="Arial" w:hAnsi="Arial"/>
                <w:sz w:val="14"/>
                <w:szCs w:val="14"/>
                <w:color w:val="auto"/>
              </w:rPr>
              <w:t>L</w:t>
            </w:r>
          </w:p>
        </w:tc>
        <w:tc>
          <w:tcPr>
            <w:tcW w:w="1560" w:type="dxa"/>
            <w:vAlign w:val="bottom"/>
          </w:tcPr>
          <w:p>
            <w:pPr>
              <w:ind w:left="320"/>
              <w:spacing w:after="0"/>
              <w:rPr>
                <w:sz w:val="20"/>
                <w:szCs w:val="20"/>
                <w:color w:val="auto"/>
              </w:rPr>
            </w:pPr>
            <w:r>
              <w:rPr>
                <w:rFonts w:ascii="Arial" w:cs="Arial" w:eastAsia="Arial" w:hAnsi="Arial"/>
                <w:sz w:val="14"/>
                <w:szCs w:val="14"/>
                <w:color w:val="auto"/>
              </w:rPr>
              <w:t>USA</w:t>
            </w:r>
          </w:p>
        </w:tc>
        <w:tc>
          <w:tcPr>
            <w:tcW w:w="1000" w:type="dxa"/>
            <w:vAlign w:val="bottom"/>
          </w:tcPr>
          <w:p>
            <w:pPr>
              <w:ind w:left="260"/>
              <w:spacing w:after="0"/>
              <w:rPr>
                <w:sz w:val="20"/>
                <w:szCs w:val="20"/>
                <w:color w:val="auto"/>
              </w:rPr>
            </w:pPr>
            <w:r>
              <w:rPr>
                <w:rFonts w:ascii="Arial" w:cs="Arial" w:eastAsia="Arial" w:hAnsi="Arial"/>
                <w:sz w:val="14"/>
                <w:szCs w:val="14"/>
                <w:color w:val="auto"/>
              </w:rPr>
              <w:t>PRO</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Ungulate-</w:t>
            </w:r>
          </w:p>
        </w:tc>
        <w:tc>
          <w:tcPr>
            <w:tcW w:w="440" w:type="dxa"/>
            <w:vAlign w:val="bottom"/>
          </w:tcPr>
          <w:p>
            <w:pPr>
              <w:spacing w:after="0"/>
              <w:rPr>
                <w:sz w:val="24"/>
                <w:szCs w:val="2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Pending</w:t>
            </w:r>
          </w:p>
        </w:tc>
        <w:tc>
          <w:tcPr>
            <w:tcW w:w="1720" w:type="dxa"/>
            <w:vAlign w:val="bottom"/>
          </w:tcPr>
          <w:p>
            <w:pPr>
              <w:ind w:left="380"/>
              <w:spacing w:after="0"/>
              <w:rPr>
                <w:sz w:val="20"/>
                <w:szCs w:val="20"/>
                <w:color w:val="auto"/>
              </w:rPr>
            </w:pPr>
            <w:r>
              <w:rPr>
                <w:rFonts w:ascii="Arial" w:cs="Arial" w:eastAsia="Arial" w:hAnsi="Arial"/>
                <w:sz w:val="14"/>
                <w:szCs w:val="14"/>
                <w:color w:val="auto"/>
              </w:rPr>
              <w:t>63/113635</w:t>
            </w:r>
          </w:p>
        </w:tc>
        <w:tc>
          <w:tcPr>
            <w:tcW w:w="940" w:type="dxa"/>
            <w:vAlign w:val="bottom"/>
          </w:tcPr>
          <w:p>
            <w:pPr>
              <w:ind w:left="120"/>
              <w:spacing w:after="0"/>
              <w:rPr>
                <w:sz w:val="20"/>
                <w:szCs w:val="20"/>
                <w:color w:val="auto"/>
              </w:rPr>
            </w:pPr>
            <w:r>
              <w:rPr>
                <w:rFonts w:ascii="Arial" w:cs="Arial" w:eastAsia="Arial" w:hAnsi="Arial"/>
                <w:sz w:val="14"/>
                <w:szCs w:val="14"/>
                <w:color w:val="auto"/>
              </w:rPr>
              <w:t>Nov 2020</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Derived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w w:val="97"/>
              </w:rPr>
              <w:t>Polyclonal</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Immunoglobulin</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Specific for PD-</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L1  and</w:t>
            </w:r>
          </w:p>
        </w:tc>
        <w:tc>
          <w:tcPr>
            <w:tcW w:w="12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w w:val="93"/>
              </w:rPr>
              <w:t>Uses</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Thereof</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(Composition of</w:t>
            </w: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Matter, Process)</w:t>
            </w: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6"/>
        </w:trPr>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65</w:t>
            </w:r>
          </w:p>
        </w:tc>
        <w:tc>
          <w:tcPr>
            <w:tcW w:w="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01"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auto"/>
        </w:rPr>
        <w:t>Patent Abstracts</w:t>
      </w:r>
    </w:p>
    <w:p>
      <w:pPr>
        <w:spacing w:after="0" w:line="182" w:lineRule="exact"/>
        <w:rPr>
          <w:sz w:val="20"/>
          <w:szCs w:val="20"/>
          <w:color w:val="auto"/>
        </w:rPr>
      </w:pPr>
    </w:p>
    <w:p>
      <w:pPr>
        <w:ind w:left="260" w:hanging="254"/>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PATENT FAMILY A:</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u w:val="single" w:color="auto"/>
          <w:color w:val="auto"/>
        </w:rPr>
        <w:t>Expression of Xenogenous (Human) Immunoglobulin in Cloned, Transgenic Ungulates</w:t>
      </w:r>
      <w:r>
        <w:rPr>
          <w:rFonts w:ascii="Arial" w:cs="Arial" w:eastAsia="Arial" w:hAnsi="Arial"/>
          <w:sz w:val="13"/>
          <w:szCs w:val="13"/>
          <w:color w:val="auto"/>
        </w:rPr>
        <w:t xml:space="preserve"> (Composition of Matter, Process) (US7074983, granted, expired* 3/26/2021 and US7491867, granted, expired* 2/9/2021) </w:t>
      </w:r>
      <w:r>
        <w:rPr>
          <w:rFonts w:ascii="Arial" w:cs="Arial" w:eastAsia="Arial" w:hAnsi="Arial"/>
          <w:sz w:val="13"/>
          <w:szCs w:val="13"/>
          <w:b w:val="1"/>
          <w:bCs w:val="1"/>
          <w:color w:val="auto"/>
        </w:rPr>
        <w:t>Abstract:</w:t>
      </w:r>
      <w:r>
        <w:rPr>
          <w:rFonts w:ascii="Arial" w:cs="Arial" w:eastAsia="Arial" w:hAnsi="Arial"/>
          <w:sz w:val="13"/>
          <w:szCs w:val="13"/>
          <w:color w:val="auto"/>
        </w:rPr>
        <w:t xml:space="preserve"> The present invention relates to the production of a transgenic bovine which comprises a genetic modification that results in inactivation and loss of expression of its endogenous antibodies, and the expression of xenogenous antibodies, preferably human antibodies. This is affected by inactivation of the IgM heavy chain expression and, optionally, by inactivation of the Ig light chain expression, and by the further introduction of an artificial chromosome which results in the expression of non-bovine antibodies, preferably human antibodies.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*Note: The expiration of this patent family in early 2021 is not expected to have a significant impact as the company has been granted patents within the portfolio that continue to protect the technology with advancements made to the production system including those in Patent families B, C, D, and E with the latest expirations in 2033.</w:t>
      </w:r>
    </w:p>
    <w:p>
      <w:pPr>
        <w:spacing w:after="0" w:line="131" w:lineRule="exact"/>
        <w:rPr>
          <w:sz w:val="20"/>
          <w:szCs w:val="20"/>
          <w:color w:val="auto"/>
        </w:rPr>
      </w:pPr>
    </w:p>
    <w:p>
      <w:pPr>
        <w:ind w:left="260" w:hanging="254"/>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PATENT FAMILY B:</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Method of producing xenogenous antibodies using a bovine</w:t>
      </w:r>
      <w:r>
        <w:rPr>
          <w:rFonts w:ascii="Arial" w:cs="Arial" w:eastAsia="Arial" w:hAnsi="Arial"/>
          <w:sz w:val="14"/>
          <w:szCs w:val="14"/>
          <w:color w:val="auto"/>
        </w:rPr>
        <w:t xml:space="preserve"> (Process) (US7928285, granted, expires 11/5/2025)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In general, the invention features genetically modified non-human mammals (e.g., bovines and other ungulates), and methods of making these mammals. In particular, the invention features transgenic ungulates having reduced levels of endogenous IgM heavy chain and/or antibody protein.</w:t>
      </w:r>
    </w:p>
    <w:p>
      <w:pPr>
        <w:spacing w:after="0" w:line="139" w:lineRule="exact"/>
        <w:rPr>
          <w:sz w:val="20"/>
          <w:szCs w:val="20"/>
          <w:color w:val="auto"/>
        </w:rPr>
      </w:pPr>
    </w:p>
    <w:p>
      <w:pPr>
        <w:ind w:left="260" w:hanging="254"/>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PATENT FAMILY C:</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Cloning of transgenic ungulates comprising artificial chromosomes</w:t>
      </w:r>
      <w:r>
        <w:rPr>
          <w:rFonts w:ascii="Arial" w:cs="Arial" w:eastAsia="Arial" w:hAnsi="Arial"/>
          <w:sz w:val="14"/>
          <w:szCs w:val="14"/>
          <w:color w:val="auto"/>
        </w:rPr>
        <w:t xml:space="preserve"> (Process) (US7652192, granted, expires 3/4/2025)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The invention is directed in part to totipotent cells that have one or more artificial chromosomes; processes for producing such cells; processes for using such cells (e.g., nuclear transfer); transgenic embryos and transgenic animals cloned from such cells; and processes for producing such embryos and animals.</w:t>
      </w:r>
    </w:p>
    <w:p>
      <w:pPr>
        <w:spacing w:after="0" w:line="139" w:lineRule="exact"/>
        <w:rPr>
          <w:sz w:val="20"/>
          <w:szCs w:val="20"/>
          <w:color w:val="auto"/>
        </w:rPr>
      </w:pPr>
    </w:p>
    <w:p>
      <w:pPr>
        <w:ind w:left="260" w:hanging="254"/>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PATENT FAMILY 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u w:val="single" w:color="auto"/>
          <w:color w:val="auto"/>
        </w:rPr>
        <w:t>Human Artificial Chromosome Vector</w:t>
      </w:r>
      <w:r>
        <w:rPr>
          <w:rFonts w:ascii="Arial" w:cs="Arial" w:eastAsia="Arial" w:hAnsi="Arial"/>
          <w:sz w:val="14"/>
          <w:szCs w:val="14"/>
          <w:color w:val="auto"/>
        </w:rPr>
        <w:t xml:space="preserve"> (Composition of Matter) (US9315824 and US9775332, granted, expires 4/2031)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The present invention provides a human artificial chromosome vector comprising a gene encoding the human antibody heavy chain, a gene encoding the human antibody light chain, and a gene encoding IgM heavy chain constant region derived from a nonhuman animal; and being capable of producing a human antibody with a higher efficiency when the vector is introduced into an animal. By immunizing the animal produced using a human artificial chromosome vector of the present invention with a desired antigen; a large quantity of human polyclonal antibodies can be supplied.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73" w:name="page74"/>
    <w:bookmarkEnd w:id="73"/>
    <w:p>
      <w:pPr>
        <w:jc w:val="both"/>
        <w:ind w:left="260" w:hanging="254"/>
        <w:spacing w:after="0" w:line="274"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E: </w:t>
      </w:r>
      <w:r>
        <w:rPr>
          <w:rFonts w:ascii="Arial" w:cs="Arial" w:eastAsia="Arial" w:hAnsi="Arial"/>
          <w:sz w:val="14"/>
          <w:szCs w:val="14"/>
          <w:u w:val="single" w:color="auto"/>
          <w:color w:val="auto"/>
        </w:rPr>
        <w:t>Complex Chromosome Engineering for Production of Antibodies in Transgenic Animals</w:t>
      </w:r>
      <w:r>
        <w:rPr>
          <w:rFonts w:ascii="Arial" w:cs="Arial" w:eastAsia="Arial" w:hAnsi="Arial"/>
          <w:sz w:val="14"/>
          <w:szCs w:val="14"/>
          <w:color w:val="auto"/>
        </w:rPr>
        <w:t xml:space="preserve"> (Process) (US9902970, granted, expires 08/2033)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The invention relates to large-scale production of human antibodies by transgenic animals with high production of fully human IgG up to &gt;10 g/L in sera with Human IgG1 subclass dominancy. This invention also supports a feasibility of complex chromosome engineering for complicated genetic studies of non-murine mammalian species.</w:t>
      </w:r>
    </w:p>
    <w:p>
      <w:pPr>
        <w:spacing w:after="0" w:line="135" w:lineRule="exact"/>
        <w:rPr>
          <w:rFonts w:ascii="Arial" w:cs="Arial" w:eastAsia="Arial" w:hAnsi="Arial"/>
          <w:sz w:val="14"/>
          <w:szCs w:val="14"/>
          <w:color w:val="auto"/>
        </w:rPr>
      </w:pPr>
    </w:p>
    <w:p>
      <w:pPr>
        <w:jc w:val="both"/>
        <w:ind w:left="260" w:hanging="254"/>
        <w:spacing w:after="0" w:line="274"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F: </w:t>
      </w:r>
      <w:r>
        <w:rPr>
          <w:rFonts w:ascii="Arial" w:cs="Arial" w:eastAsia="Arial" w:hAnsi="Arial"/>
          <w:sz w:val="14"/>
          <w:szCs w:val="14"/>
          <w:u w:val="single" w:color="auto"/>
          <w:color w:val="auto"/>
        </w:rPr>
        <w:t>Methods for cloning non-human mammals using reprogrammed donor chromatin or donor cells (Process)</w:t>
      </w:r>
      <w:r>
        <w:rPr>
          <w:rFonts w:ascii="Arial" w:cs="Arial" w:eastAsia="Arial" w:hAnsi="Arial"/>
          <w:sz w:val="14"/>
          <w:szCs w:val="14"/>
          <w:color w:val="auto"/>
        </w:rPr>
        <w:t xml:space="preserve"> (US7253334, granted, expires 12/21/2021)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The invention provides methods for cloning mammals that allow the donor chromosomes or donor cells to be reprogrammed prior to insertion into an enucleated oocyte. The invention also features methods of inserting chromosomes or nuclei into recipient cells.</w:t>
      </w:r>
    </w:p>
    <w:p>
      <w:pPr>
        <w:spacing w:after="0" w:line="135" w:lineRule="exact"/>
        <w:rPr>
          <w:rFonts w:ascii="Arial" w:cs="Arial" w:eastAsia="Arial" w:hAnsi="Arial"/>
          <w:sz w:val="14"/>
          <w:szCs w:val="14"/>
          <w:color w:val="auto"/>
        </w:rPr>
      </w:pPr>
    </w:p>
    <w:p>
      <w:pPr>
        <w:jc w:val="both"/>
        <w:ind w:left="260" w:hanging="254"/>
        <w:spacing w:after="0" w:line="268"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G: </w:t>
      </w:r>
      <w:r>
        <w:rPr>
          <w:rFonts w:ascii="Arial" w:cs="Arial" w:eastAsia="Arial" w:hAnsi="Arial"/>
          <w:sz w:val="14"/>
          <w:szCs w:val="14"/>
          <w:u w:val="single" w:color="auto"/>
          <w:color w:val="auto"/>
        </w:rPr>
        <w:t>Systems and Methods for Production of Human Polyclonal Antibodies</w:t>
      </w:r>
      <w:r>
        <w:rPr>
          <w:rFonts w:ascii="Arial" w:cs="Arial" w:eastAsia="Arial" w:hAnsi="Arial"/>
          <w:sz w:val="14"/>
          <w:szCs w:val="14"/>
          <w:color w:val="auto"/>
        </w:rPr>
        <w:t xml:space="preserve"> (Process) (US 11072649, granted, expires 11/25/2035) </w:t>
      </w:r>
      <w:r>
        <w:rPr>
          <w:rFonts w:ascii="Arial" w:cs="Arial" w:eastAsia="Arial" w:hAnsi="Arial"/>
          <w:sz w:val="14"/>
          <w:szCs w:val="14"/>
          <w:b w:val="1"/>
          <w:bCs w:val="1"/>
          <w:color w:val="auto"/>
        </w:rPr>
        <w:t>Abstract:</w:t>
      </w:r>
      <w:r>
        <w:rPr>
          <w:rFonts w:ascii="Arial" w:cs="Arial" w:eastAsia="Arial" w:hAnsi="Arial"/>
          <w:sz w:val="14"/>
          <w:szCs w:val="14"/>
          <w:color w:val="auto"/>
        </w:rPr>
        <w:t xml:space="preserve"> Disclosed herein is a method for producing human antibodies against a pathogen comprising injecting a non-human animal with a pathogen-derived DNA vaccine in at least two locations of the animal; injecting the animal with an adjuvant in a location of the animal different from the location of the DNA vaccine location; collecting plasma from the animal after the injections; and purifying polyclonal antibody from the plasma.</w:t>
      </w:r>
    </w:p>
    <w:p>
      <w:pPr>
        <w:spacing w:after="0" w:line="143" w:lineRule="exact"/>
        <w:rPr>
          <w:rFonts w:ascii="Arial" w:cs="Arial" w:eastAsia="Arial" w:hAnsi="Arial"/>
          <w:sz w:val="14"/>
          <w:szCs w:val="14"/>
          <w:color w:val="auto"/>
        </w:rPr>
      </w:pPr>
    </w:p>
    <w:p>
      <w:pPr>
        <w:ind w:left="260" w:hanging="254"/>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PATENT FAMILY H: </w:t>
      </w:r>
      <w:r>
        <w:rPr>
          <w:rFonts w:ascii="Arial" w:cs="Arial" w:eastAsia="Arial" w:hAnsi="Arial"/>
          <w:sz w:val="13"/>
          <w:szCs w:val="13"/>
          <w:u w:val="single" w:color="auto"/>
          <w:color w:val="auto"/>
        </w:rPr>
        <w:t>Transgenic bovine having reduced prion protein activity and uses thereof</w:t>
      </w:r>
      <w:r>
        <w:rPr>
          <w:rFonts w:ascii="Arial" w:cs="Arial" w:eastAsia="Arial" w:hAnsi="Arial"/>
          <w:sz w:val="13"/>
          <w:szCs w:val="13"/>
          <w:color w:val="auto"/>
        </w:rPr>
        <w:t xml:space="preserve"> (Process, Use) (US7429690, granted, expires 07/2024 and US7807863, granted, expires</w:t>
      </w:r>
    </w:p>
    <w:p>
      <w:pPr>
        <w:spacing w:after="0" w:line="31" w:lineRule="exact"/>
        <w:rPr>
          <w:rFonts w:ascii="Arial" w:cs="Arial" w:eastAsia="Arial" w:hAnsi="Arial"/>
          <w:sz w:val="13"/>
          <w:szCs w:val="13"/>
          <w:color w:val="auto"/>
        </w:rPr>
      </w:pPr>
    </w:p>
    <w:p>
      <w:pPr>
        <w:jc w:val="both"/>
        <w:ind w:left="260"/>
        <w:spacing w:after="0" w:line="293" w:lineRule="auto"/>
        <w:rPr>
          <w:rFonts w:ascii="Arial" w:cs="Arial" w:eastAsia="Arial" w:hAnsi="Arial"/>
          <w:sz w:val="13"/>
          <w:szCs w:val="13"/>
          <w:color w:val="auto"/>
        </w:rPr>
      </w:pPr>
      <w:r>
        <w:rPr>
          <w:rFonts w:ascii="Arial" w:cs="Arial" w:eastAsia="Arial" w:hAnsi="Arial"/>
          <w:sz w:val="13"/>
          <w:szCs w:val="13"/>
          <w:color w:val="auto"/>
        </w:rPr>
        <w:t xml:space="preserve">11/2023) </w:t>
      </w:r>
      <w:r>
        <w:rPr>
          <w:rFonts w:ascii="Arial" w:cs="Arial" w:eastAsia="Arial" w:hAnsi="Arial"/>
          <w:sz w:val="13"/>
          <w:szCs w:val="13"/>
          <w:b w:val="1"/>
          <w:bCs w:val="1"/>
          <w:color w:val="auto"/>
        </w:rPr>
        <w:t>Abstract:</w:t>
      </w:r>
      <w:r>
        <w:rPr>
          <w:rFonts w:ascii="Arial" w:cs="Arial" w:eastAsia="Arial" w:hAnsi="Arial"/>
          <w:sz w:val="13"/>
          <w:szCs w:val="13"/>
          <w:color w:val="auto"/>
        </w:rPr>
        <w:t xml:space="preserve"> The invention provides cloned transgenic ungulates (e.g., bovines) n which prion protein activity is reduced by one or more genetically engineered mutations. Desirably, these transgenic bovines are also genetically modified to express xenogenous (e.g., human) antibodies. Because of their resistance to prion-related diseases such as bovine spongiform encephalopathy (also known as mad cow disease), these bovines are a safer source of human antibodies for pharmaceutical uses and a safer source of agricultural products.</w:t>
      </w:r>
    </w:p>
    <w:p>
      <w:pPr>
        <w:spacing w:after="0" w:line="129" w:lineRule="exact"/>
        <w:rPr>
          <w:rFonts w:ascii="Arial" w:cs="Arial" w:eastAsia="Arial" w:hAnsi="Arial"/>
          <w:sz w:val="13"/>
          <w:szCs w:val="13"/>
          <w:color w:val="auto"/>
        </w:rPr>
      </w:pPr>
    </w:p>
    <w:p>
      <w:pPr>
        <w:jc w:val="both"/>
        <w:ind w:left="260" w:hanging="254"/>
        <w:spacing w:after="0" w:line="263"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I: </w:t>
      </w:r>
      <w:r>
        <w:rPr>
          <w:rFonts w:ascii="Arial" w:cs="Arial" w:eastAsia="Arial" w:hAnsi="Arial"/>
          <w:sz w:val="14"/>
          <w:szCs w:val="14"/>
          <w:u w:val="single" w:color="auto"/>
          <w:color w:val="auto"/>
        </w:rPr>
        <w:t>Anti-Thymocyte Globulin</w:t>
      </w:r>
      <w:r>
        <w:rPr>
          <w:rFonts w:ascii="Arial" w:cs="Arial" w:eastAsia="Arial" w:hAnsi="Arial"/>
          <w:sz w:val="14"/>
          <w:szCs w:val="14"/>
          <w:color w:val="auto"/>
        </w:rPr>
        <w:t xml:space="preserve"> (Composition of Matter, Process) (PCT/US2021/017218, pending, filed 02/2021) Abstract: Provided are human anti-thymocyte globulin (ATG) products, and methods of making and using the same. In particular, the disclosure provides an ungulate-derived polyclonal immunoglobulin, comprising a population of fully human or substantially human immunoglobulins. The population of fully human or substantially human immunoglobulins specifically binds human thymocytes, T cells, B cells, and/or monocytes. Such compositions may be made by immunization of transgenic animals having a human Ig locus with human thymocyte. This method generates polyclonal immunoglobulin with yield, purity, and antigen specificity that enable use of this product in medical applications.</w:t>
      </w:r>
    </w:p>
    <w:p>
      <w:pPr>
        <w:spacing w:after="0" w:line="147" w:lineRule="exact"/>
        <w:rPr>
          <w:rFonts w:ascii="Arial" w:cs="Arial" w:eastAsia="Arial" w:hAnsi="Arial"/>
          <w:sz w:val="14"/>
          <w:szCs w:val="14"/>
          <w:color w:val="auto"/>
        </w:rPr>
      </w:pPr>
    </w:p>
    <w:p>
      <w:pPr>
        <w:ind w:left="260" w:hanging="254"/>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PATENT FAMILY J: </w:t>
      </w:r>
      <w:r>
        <w:rPr>
          <w:rFonts w:ascii="Arial" w:cs="Arial" w:eastAsia="Arial" w:hAnsi="Arial"/>
          <w:sz w:val="13"/>
          <w:szCs w:val="13"/>
          <w:u w:val="single" w:color="auto"/>
          <w:color w:val="auto"/>
        </w:rPr>
        <w:t>Ungulate-Derived Polyclonal Immunoglobulin specific for Coronavirus Spike Protein and Uses Thereof</w:t>
      </w:r>
      <w:r>
        <w:rPr>
          <w:rFonts w:ascii="Arial" w:cs="Arial" w:eastAsia="Arial" w:hAnsi="Arial"/>
          <w:sz w:val="13"/>
          <w:szCs w:val="13"/>
          <w:color w:val="auto"/>
        </w:rPr>
        <w:t xml:space="preserve"> (Composition of Matter, Process) (US 17/264275, pending, filed</w:t>
      </w:r>
    </w:p>
    <w:p>
      <w:pPr>
        <w:spacing w:after="0" w:line="31" w:lineRule="exact"/>
        <w:rPr>
          <w:rFonts w:ascii="Arial" w:cs="Arial" w:eastAsia="Arial" w:hAnsi="Arial"/>
          <w:sz w:val="13"/>
          <w:szCs w:val="13"/>
          <w:color w:val="auto"/>
        </w:rPr>
      </w:pPr>
    </w:p>
    <w:p>
      <w:pPr>
        <w:ind w:left="260"/>
        <w:spacing w:after="0" w:line="271" w:lineRule="auto"/>
        <w:rPr>
          <w:rFonts w:ascii="Arial" w:cs="Arial" w:eastAsia="Arial" w:hAnsi="Arial"/>
          <w:sz w:val="13"/>
          <w:szCs w:val="13"/>
          <w:color w:val="auto"/>
        </w:rPr>
      </w:pPr>
      <w:r>
        <w:rPr>
          <w:rFonts w:ascii="Arial" w:cs="Arial" w:eastAsia="Arial" w:hAnsi="Arial"/>
          <w:sz w:val="14"/>
          <w:szCs w:val="14"/>
          <w:color w:val="auto"/>
        </w:rPr>
        <w:t>06/2021 and PCT/US2021/039818, PENDING, filed 06/2021) Abstract: Provided are human polyclonal immunoglobulin products for use in treating or preventing coronavirus disease. Further provided are methods for making such compositions in a transgenic ungulate, e.g., using a transchromosomic bovine (TcB) system.</w:t>
      </w:r>
    </w:p>
    <w:p>
      <w:pPr>
        <w:spacing w:after="0" w:line="141" w:lineRule="exact"/>
        <w:rPr>
          <w:rFonts w:ascii="Arial" w:cs="Arial" w:eastAsia="Arial" w:hAnsi="Arial"/>
          <w:sz w:val="13"/>
          <w:szCs w:val="13"/>
          <w:color w:val="auto"/>
        </w:rPr>
      </w:pPr>
    </w:p>
    <w:p>
      <w:pPr>
        <w:jc w:val="both"/>
        <w:ind w:left="260" w:hanging="254"/>
        <w:spacing w:after="0" w:line="27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K: </w:t>
      </w:r>
      <w:r>
        <w:rPr>
          <w:rFonts w:ascii="Arial" w:cs="Arial" w:eastAsia="Arial" w:hAnsi="Arial"/>
          <w:sz w:val="14"/>
          <w:szCs w:val="14"/>
          <w:u w:val="single" w:color="auto"/>
          <w:color w:val="auto"/>
        </w:rPr>
        <w:t>Ungulate-Derived Polyclonal Immunoglobulin Specific for EGFR and Uses Thereof</w:t>
      </w:r>
      <w:r>
        <w:rPr>
          <w:rFonts w:ascii="Arial" w:cs="Arial" w:eastAsia="Arial" w:hAnsi="Arial"/>
          <w:sz w:val="14"/>
          <w:szCs w:val="14"/>
          <w:color w:val="auto"/>
        </w:rPr>
        <w:t xml:space="preserve"> (Composition of Matter, Process) (US 63/113643, pending, filed 11/2020) Abstract: Provided are human polyclonal immunoglobulin products specific for Epidermal Growth Factor Receptor (EGFR) for use in treating or preventing cancer. Further provided are methods for making such compositions in a transgenic ungulate, e.g. using a transchromosomic bovine (TcB) system.</w:t>
      </w:r>
    </w:p>
    <w:p>
      <w:pPr>
        <w:spacing w:after="0" w:line="141" w:lineRule="exact"/>
        <w:rPr>
          <w:rFonts w:ascii="Arial" w:cs="Arial" w:eastAsia="Arial" w:hAnsi="Arial"/>
          <w:sz w:val="14"/>
          <w:szCs w:val="14"/>
          <w:color w:val="auto"/>
        </w:rPr>
      </w:pPr>
    </w:p>
    <w:p>
      <w:pPr>
        <w:jc w:val="both"/>
        <w:ind w:left="260" w:hanging="254"/>
        <w:spacing w:after="0" w:line="271" w:lineRule="auto"/>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PATENT FAMILY L: </w:t>
      </w:r>
      <w:r>
        <w:rPr>
          <w:rFonts w:ascii="Arial" w:cs="Arial" w:eastAsia="Arial" w:hAnsi="Arial"/>
          <w:sz w:val="14"/>
          <w:szCs w:val="14"/>
          <w:u w:val="single" w:color="auto"/>
          <w:color w:val="auto"/>
        </w:rPr>
        <w:t>Ungulate-Derived Polyclonal Immunoglobulin Specific for PD-L1 and Uses Thereof</w:t>
      </w:r>
      <w:r>
        <w:rPr>
          <w:rFonts w:ascii="Arial" w:cs="Arial" w:eastAsia="Arial" w:hAnsi="Arial"/>
          <w:sz w:val="14"/>
          <w:szCs w:val="14"/>
          <w:color w:val="auto"/>
        </w:rPr>
        <w:t xml:space="preserve"> (Composition of Matter, Process) (US 63/113635, pending, filed 11/2020) Abstract: Provided are human polyclonal immunoglobulin products specific for Programmed Death-Ligand 1 (PD-L1) for use in treating or preventing cancer. Further provided are methods for making such compositions in a transgenic ungulate, e.g. using a transchromosomic bovine (TcB) system.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September 30, 2021, the Company had 131 full-time employees. Of these employees, 11 held a Ph.D. or M.D. degree. Of our 131 full time employees, 28 were engaged in research and development and 2 were engaged clinical development. Our employees are employed at facilities throughout Sioux Falls. Our employees are not represented by labor unions or covered by collective bargaining agreements. We consider our relationship with our employees to be good.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There is no material litigation, arbitration or governmental proceeding currently pending against SAB Biotherapeutics or any members of its management in their capacity as such.</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Properties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Company leases its corporate headquarters located at 2100 East 54th Street North, Sioux Falls, SD 57104. The lease covers approximately 45,602 square feet of office and laboratory space.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Company believes that its existing facilities and other available properties will be sufficient for its needs for the foreseeable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MANAGEMENT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Executive Officers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persons are serving as executive officers and directors of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6760" w:type="dxa"/>
            <w:vAlign w:val="bottom"/>
          </w:tcPr>
          <w:p>
            <w:pPr>
              <w:ind w:left="3060"/>
              <w:spacing w:after="0"/>
              <w:rPr>
                <w:sz w:val="20"/>
                <w:szCs w:val="20"/>
                <w:color w:val="auto"/>
              </w:rPr>
            </w:pPr>
            <w:r>
              <w:rPr>
                <w:rFonts w:ascii="Arial" w:cs="Arial" w:eastAsia="Arial" w:hAnsi="Arial"/>
                <w:sz w:val="14"/>
                <w:szCs w:val="14"/>
                <w:b w:val="1"/>
                <w:bCs w:val="1"/>
                <w:color w:val="auto"/>
              </w:rPr>
              <w:t>Position(s)</w:t>
            </w:r>
          </w:p>
        </w:tc>
      </w:tr>
      <w:tr>
        <w:trPr>
          <w:trHeight w:val="172"/>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Samuel J. Reich</w:t>
            </w: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220" w:type="dxa"/>
            <w:vAlign w:val="bottom"/>
            <w:tcBorders>
              <w:top w:val="single" w:sz="8" w:color="CCEEFF"/>
            </w:tcBorders>
            <w:shd w:val="clear" w:color="auto" w:fill="CCEEFF"/>
          </w:tcPr>
          <w:p>
            <w:pPr>
              <w:spacing w:after="0"/>
              <w:rPr>
                <w:sz w:val="14"/>
                <w:szCs w:val="14"/>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Class III Director and Executive Chairman of the Board</w:t>
            </w:r>
          </w:p>
        </w:tc>
      </w:tr>
      <w:tr>
        <w:trPr>
          <w:trHeight w:val="172"/>
        </w:trPr>
        <w:tc>
          <w:tcPr>
            <w:tcW w:w="3400" w:type="dxa"/>
            <w:vAlign w:val="bottom"/>
            <w:gridSpan w:val="2"/>
          </w:tcPr>
          <w:p>
            <w:pPr>
              <w:spacing w:after="0"/>
              <w:rPr>
                <w:sz w:val="20"/>
                <w:szCs w:val="20"/>
                <w:color w:val="auto"/>
              </w:rPr>
            </w:pPr>
            <w:r>
              <w:rPr>
                <w:rFonts w:ascii="Arial" w:cs="Arial" w:eastAsia="Arial" w:hAnsi="Arial"/>
                <w:sz w:val="14"/>
                <w:szCs w:val="14"/>
                <w:color w:val="auto"/>
              </w:rPr>
              <w:t>Christine Hamilton, MBA</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65</w:t>
            </w:r>
          </w:p>
        </w:tc>
        <w:tc>
          <w:tcPr>
            <w:tcW w:w="6980" w:type="dxa"/>
            <w:vAlign w:val="bottom"/>
            <w:gridSpan w:val="2"/>
          </w:tcPr>
          <w:p>
            <w:pPr>
              <w:ind w:left="220"/>
              <w:spacing w:after="0"/>
              <w:rPr>
                <w:sz w:val="20"/>
                <w:szCs w:val="20"/>
                <w:color w:val="auto"/>
              </w:rPr>
            </w:pPr>
            <w:r>
              <w:rPr>
                <w:rFonts w:ascii="Arial" w:cs="Arial" w:eastAsia="Arial" w:hAnsi="Arial"/>
                <w:sz w:val="14"/>
                <w:szCs w:val="14"/>
                <w:color w:val="auto"/>
              </w:rPr>
              <w:t>Class III Director</w:t>
            </w:r>
          </w:p>
        </w:tc>
      </w:tr>
      <w:tr>
        <w:trPr>
          <w:trHeight w:val="172"/>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Eddie J. Sullivan, PhD</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III Director, President and Chief Executive Officer</w:t>
            </w:r>
          </w:p>
        </w:tc>
      </w:tr>
      <w:tr>
        <w:trPr>
          <w:trHeight w:val="172"/>
        </w:trPr>
        <w:tc>
          <w:tcPr>
            <w:tcW w:w="3400" w:type="dxa"/>
            <w:vAlign w:val="bottom"/>
            <w:gridSpan w:val="2"/>
          </w:tcPr>
          <w:p>
            <w:pPr>
              <w:spacing w:after="0"/>
              <w:rPr>
                <w:sz w:val="20"/>
                <w:szCs w:val="20"/>
                <w:color w:val="auto"/>
              </w:rPr>
            </w:pPr>
            <w:r>
              <w:rPr>
                <w:rFonts w:ascii="Arial" w:cs="Arial" w:eastAsia="Arial" w:hAnsi="Arial"/>
                <w:sz w:val="14"/>
                <w:szCs w:val="14"/>
                <w:color w:val="auto"/>
              </w:rPr>
              <w:t>Mervyn Turner,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74</w:t>
            </w:r>
          </w:p>
        </w:tc>
        <w:tc>
          <w:tcPr>
            <w:tcW w:w="6980" w:type="dxa"/>
            <w:vAlign w:val="bottom"/>
            <w:gridSpan w:val="2"/>
          </w:tcPr>
          <w:p>
            <w:pPr>
              <w:ind w:left="220"/>
              <w:spacing w:after="0"/>
              <w:rPr>
                <w:sz w:val="20"/>
                <w:szCs w:val="20"/>
                <w:color w:val="auto"/>
              </w:rPr>
            </w:pPr>
            <w:r>
              <w:rPr>
                <w:rFonts w:ascii="Arial" w:cs="Arial" w:eastAsia="Arial" w:hAnsi="Arial"/>
                <w:sz w:val="14"/>
                <w:szCs w:val="14"/>
                <w:color w:val="auto"/>
              </w:rPr>
              <w:t>Class I Director</w:t>
            </w:r>
          </w:p>
        </w:tc>
      </w:tr>
      <w:tr>
        <w:trPr>
          <w:trHeight w:val="172"/>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Jeffrey G. Spragens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79</w:t>
            </w: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II Director</w:t>
            </w:r>
          </w:p>
        </w:tc>
      </w:tr>
      <w:tr>
        <w:trPr>
          <w:trHeight w:val="172"/>
        </w:trPr>
        <w:tc>
          <w:tcPr>
            <w:tcW w:w="3400" w:type="dxa"/>
            <w:vAlign w:val="bottom"/>
            <w:gridSpan w:val="2"/>
          </w:tcPr>
          <w:p>
            <w:pPr>
              <w:spacing w:after="0"/>
              <w:rPr>
                <w:sz w:val="20"/>
                <w:szCs w:val="20"/>
                <w:color w:val="auto"/>
              </w:rPr>
            </w:pPr>
            <w:r>
              <w:rPr>
                <w:rFonts w:ascii="Arial" w:cs="Arial" w:eastAsia="Arial" w:hAnsi="Arial"/>
                <w:sz w:val="14"/>
                <w:szCs w:val="14"/>
                <w:color w:val="auto"/>
              </w:rPr>
              <w:t>William Polvino, MD,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6980" w:type="dxa"/>
            <w:vAlign w:val="bottom"/>
            <w:gridSpan w:val="2"/>
          </w:tcPr>
          <w:p>
            <w:pPr>
              <w:ind w:left="220"/>
              <w:spacing w:after="0"/>
              <w:rPr>
                <w:sz w:val="20"/>
                <w:szCs w:val="20"/>
                <w:color w:val="auto"/>
              </w:rPr>
            </w:pPr>
            <w:r>
              <w:rPr>
                <w:rFonts w:ascii="Arial" w:cs="Arial" w:eastAsia="Arial" w:hAnsi="Arial"/>
                <w:sz w:val="14"/>
                <w:szCs w:val="14"/>
                <w:color w:val="auto"/>
              </w:rPr>
              <w:t>Class I Director</w:t>
            </w:r>
          </w:p>
        </w:tc>
      </w:tr>
      <w:tr>
        <w:trPr>
          <w:trHeight w:val="172"/>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Link</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66</w:t>
            </w: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II Director</w:t>
            </w:r>
          </w:p>
        </w:tc>
      </w:tr>
      <w:tr>
        <w:trPr>
          <w:trHeight w:val="172"/>
        </w:trPr>
        <w:tc>
          <w:tcPr>
            <w:tcW w:w="3400" w:type="dxa"/>
            <w:vAlign w:val="bottom"/>
            <w:gridSpan w:val="2"/>
          </w:tcPr>
          <w:p>
            <w:pPr>
              <w:spacing w:after="0"/>
              <w:rPr>
                <w:sz w:val="20"/>
                <w:szCs w:val="20"/>
                <w:color w:val="auto"/>
              </w:rPr>
            </w:pPr>
            <w:r>
              <w:rPr>
                <w:rFonts w:ascii="Arial" w:cs="Arial" w:eastAsia="Arial" w:hAnsi="Arial"/>
                <w:sz w:val="14"/>
                <w:szCs w:val="14"/>
                <w:color w:val="auto"/>
              </w:rPr>
              <w:t>Russell Beyer</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66</w:t>
            </w:r>
          </w:p>
        </w:tc>
        <w:tc>
          <w:tcPr>
            <w:tcW w:w="6980" w:type="dxa"/>
            <w:vAlign w:val="bottom"/>
            <w:gridSpan w:val="2"/>
          </w:tcPr>
          <w:p>
            <w:pPr>
              <w:ind w:left="220"/>
              <w:spacing w:after="0"/>
              <w:rPr>
                <w:sz w:val="20"/>
                <w:szCs w:val="20"/>
                <w:color w:val="auto"/>
              </w:rPr>
            </w:pPr>
            <w:r>
              <w:rPr>
                <w:rFonts w:ascii="Arial" w:cs="Arial" w:eastAsia="Arial" w:hAnsi="Arial"/>
                <w:sz w:val="14"/>
                <w:szCs w:val="14"/>
                <w:color w:val="auto"/>
              </w:rPr>
              <w:t>Chief Financial Officer</w:t>
            </w:r>
          </w:p>
        </w:tc>
      </w:tr>
      <w:tr>
        <w:trPr>
          <w:trHeight w:val="172"/>
        </w:trPr>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Charles H. Randall, Jr., MBA</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6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Chief Strategy Officer</w:t>
            </w:r>
          </w:p>
        </w:tc>
      </w:tr>
      <w:tr>
        <w:trPr>
          <w:trHeight w:val="181"/>
        </w:trPr>
        <w:tc>
          <w:tcPr>
            <w:tcW w:w="3400" w:type="dxa"/>
            <w:vAlign w:val="bottom"/>
            <w:gridSpan w:val="2"/>
          </w:tcPr>
          <w:p>
            <w:pPr>
              <w:spacing w:after="0"/>
              <w:rPr>
                <w:sz w:val="20"/>
                <w:szCs w:val="20"/>
                <w:color w:val="auto"/>
              </w:rPr>
            </w:pPr>
            <w:r>
              <w:rPr>
                <w:rFonts w:ascii="Arial" w:cs="Arial" w:eastAsia="Arial" w:hAnsi="Arial"/>
                <w:sz w:val="14"/>
                <w:szCs w:val="14"/>
                <w:color w:val="auto"/>
              </w:rPr>
              <w:t>Thomas Luke, MD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59</w:t>
            </w:r>
          </w:p>
        </w:tc>
        <w:tc>
          <w:tcPr>
            <w:tcW w:w="6980" w:type="dxa"/>
            <w:vAlign w:val="bottom"/>
            <w:gridSpan w:val="2"/>
          </w:tcPr>
          <w:p>
            <w:pPr>
              <w:ind w:left="220"/>
              <w:spacing w:after="0"/>
              <w:rPr>
                <w:sz w:val="20"/>
                <w:szCs w:val="20"/>
                <w:color w:val="auto"/>
              </w:rPr>
            </w:pPr>
            <w:r>
              <w:rPr>
                <w:rFonts w:ascii="Arial" w:cs="Arial" w:eastAsia="Arial" w:hAnsi="Arial"/>
                <w:sz w:val="14"/>
                <w:szCs w:val="14"/>
                <w:color w:val="auto"/>
              </w:rPr>
              <w:t>Chief Medical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There will be no family relationships among any of New SAB Biotherapeutics’ directors or executive officers following the Business Combination. Edward Hamilton, former Executive Chairman of OLD SAB, retired from such role as of the consummation of the merger. Mr. Hamilton was named as a Board Observer as of the Closing Date. Edward Hamilton is Christine Hamilton’s husband.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6" w:lineRule="exact"/>
        <w:rPr>
          <w:sz w:val="20"/>
          <w:szCs w:val="20"/>
          <w:color w:val="auto"/>
        </w:rPr>
      </w:pPr>
    </w:p>
    <w:p>
      <w:pPr>
        <w:jc w:val="both"/>
        <w:ind w:firstLine="515"/>
        <w:spacing w:after="0" w:line="282" w:lineRule="auto"/>
        <w:rPr>
          <w:sz w:val="20"/>
          <w:szCs w:val="20"/>
          <w:color w:val="auto"/>
        </w:rPr>
      </w:pPr>
      <w:r>
        <w:rPr>
          <w:rFonts w:ascii="Arial" w:cs="Arial" w:eastAsia="Arial" w:hAnsi="Arial"/>
          <w:sz w:val="13"/>
          <w:szCs w:val="13"/>
          <w:b w:val="1"/>
          <w:bCs w:val="1"/>
          <w:i w:val="1"/>
          <w:iCs w:val="1"/>
          <w:color w:val="auto"/>
        </w:rPr>
        <w:t>Eddie J. Sullivan, PhD</w:t>
      </w:r>
      <w:r>
        <w:rPr>
          <w:rFonts w:ascii="Arial" w:cs="Arial" w:eastAsia="Arial" w:hAnsi="Arial"/>
          <w:sz w:val="13"/>
          <w:szCs w:val="13"/>
          <w:color w:val="auto"/>
        </w:rPr>
        <w:t>, is a co-founder of SAB and has been served as president and CEO since 2014. Dr. Sullivan has served in biopharma leadership positions for more than 25 years.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 to SAB, he held the CEO role or other leadership roles in predecessor entities to SAB, including CEO of Hematech, a subsidiary of Kyowa Hakko Kirin. During that time, he led initiatives to develop infectious disease, cancer and autoimmune immunotherapies. In addition to raising over $250 million in capital to develop biopharmaceutical platform technologies, he has also led several successful mergers and acquisitions. A recognized thought leader in antibodies and transgenic animals, Dr. Sullivan serves on the Board of Directors for the Biotechnology Innovation Organization (BIO) and has served on its Executive Committee. He has worked with industry committees and discussion groups that have focused on animal biotechnology, regulatory framework, human immunotherapies and global health threats. Dr. Sullivan was governor-appointed to South Dakota’s Research Commercialization Council and is Chairman of the state’s National Science Foundation-EPSCoR committee. He also founded, served as president and remains an advisor to the state affiliate of BIO, South Dakota Biotech, and in 2014 was honored for his leadership, innovation, vision and entrepreneurship with the inaugural LIVE award. He holds an undergraduate degree from the University of Arizona and graduate degrees from Brigham Young University, Kennedy-Western University, and Utah State University in both reproduction and business.</w:t>
      </w:r>
    </w:p>
    <w:p>
      <w:pPr>
        <w:spacing w:after="0" w:line="136"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3"/>
          <w:szCs w:val="13"/>
          <w:b w:val="1"/>
          <w:bCs w:val="1"/>
          <w:i w:val="1"/>
          <w:iCs w:val="1"/>
          <w:color w:val="auto"/>
        </w:rPr>
        <w:t xml:space="preserve">Charles H. Randall, Jr., MBA </w:t>
      </w:r>
      <w:r>
        <w:rPr>
          <w:rFonts w:ascii="Arial" w:cs="Arial" w:eastAsia="Arial" w:hAnsi="Arial"/>
          <w:sz w:val="13"/>
          <w:szCs w:val="13"/>
          <w:color w:val="auto"/>
        </w:rPr>
        <w:t>has served as Chief Strategy Officer of SAB since 2021. Prior to his current role he has held various roles including Chief Operations Officer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since the company’s founding in 2014. Prior to SAB Biotherapeutics, Mr. Randall served in various capacities as an executive in finance, development, and asset management. Prior experience includes, leading the market, legal and operational structuring for a $200M institutional equity fund; development planning for an industrial scale food processing business; and capital strategy and development sequencing for a $2B redevelopment plan for a major military base. He has expertise in strategy, organizational development and investment, asset management, financial analysis and project development. Mr. Randall holds a BA in English from Pitzer College, Claremont, CA, and an MBA from the University of Colorado, Boulder.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5" w:name="page76"/>
    <w:bookmarkEnd w:id="75"/>
    <w:p>
      <w:pPr>
        <w:jc w:val="both"/>
        <w:ind w:firstLine="515"/>
        <w:spacing w:after="0" w:line="288" w:lineRule="auto"/>
        <w:rPr>
          <w:sz w:val="20"/>
          <w:szCs w:val="20"/>
          <w:color w:val="auto"/>
        </w:rPr>
      </w:pPr>
      <w:r>
        <w:rPr>
          <w:rFonts w:ascii="Arial" w:cs="Arial" w:eastAsia="Arial" w:hAnsi="Arial"/>
          <w:sz w:val="13"/>
          <w:szCs w:val="13"/>
          <w:b w:val="1"/>
          <w:bCs w:val="1"/>
          <w:i w:val="1"/>
          <w:iCs w:val="1"/>
          <w:color w:val="auto"/>
        </w:rPr>
        <w:t>Dr. Tom Luke, MD</w:t>
      </w:r>
      <w:r>
        <w:rPr>
          <w:rFonts w:ascii="Arial" w:cs="Arial" w:eastAsia="Arial" w:hAnsi="Arial"/>
          <w:sz w:val="13"/>
          <w:szCs w:val="13"/>
          <w:color w:val="auto"/>
        </w:rPr>
        <w:t>, has served as SAB’s Chief Medical Officer since 2018. Dr. Luke joined the company following 30 years with the United States Navy and ten years as a Principal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Investigator with the Henry Jackson Foundation at the Naval Medical Research Center—the last four working with SAB’s DiversitAb™ platform on several emerging infectious disease targets. He has over 20 years of clinical studies experience and is a recognized and widely published expert. Dr. Luke’s experience in public health and immunology includes his work as deputy director of Population Health and Preventive Medicine at the Bureau of Medicine and Surgery in Washington, DC. An engineering graduate of the United States Naval Academy, with a graduate degree in business and management from Webster University, Luke received his MD and a Master of Tropical Medicine and Hygiene degree from the Uniformed Services University of Health Sciences.</w:t>
      </w:r>
    </w:p>
    <w:p>
      <w:pPr>
        <w:spacing w:after="0" w:line="133"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b w:val="1"/>
          <w:bCs w:val="1"/>
          <w:i w:val="1"/>
          <w:iCs w:val="1"/>
          <w:color w:val="auto"/>
        </w:rPr>
        <w:t>Russell Beyer, MBA, CMA</w:t>
      </w:r>
      <w:r>
        <w:rPr>
          <w:rFonts w:ascii="Arial" w:cs="Arial" w:eastAsia="Arial" w:hAnsi="Arial"/>
          <w:sz w:val="14"/>
          <w:szCs w:val="14"/>
          <w:color w:val="auto"/>
        </w:rPr>
        <w:t>, joined SAB as Chief Financial Officer in September 2021. Mr. Beyer is a global strategic business leader, bringing more than 20 years of experience working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Fortune 100 companies in the pharmaceutical industry, such as Teva, AstraZeneca, and IPR Pharmaceuticals. In addition to working in the pharmaceutical industry, Russell also served in strategic financial leadership roles for World Fuel Services and Hewlett-Packard. His professional background encompasses extensive experience in fostering a team-based approach to leading merger and post-merger integration activities, developing shared services operations, implementing global ERP platforms, and delivering strong profitability for the companies he served. He received his MBA from Simon School of Business at the University of Rochester, and his BA from St. Lawrence University.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Directors</w:t>
      </w:r>
    </w:p>
    <w:p>
      <w:pPr>
        <w:spacing w:after="0" w:line="186" w:lineRule="exact"/>
        <w:rPr>
          <w:sz w:val="20"/>
          <w:szCs w:val="20"/>
          <w:color w:val="auto"/>
        </w:rPr>
      </w:pPr>
    </w:p>
    <w:p>
      <w:pPr>
        <w:jc w:val="both"/>
        <w:ind w:firstLine="515"/>
        <w:spacing w:after="0" w:line="282" w:lineRule="auto"/>
        <w:rPr>
          <w:sz w:val="20"/>
          <w:szCs w:val="20"/>
          <w:color w:val="auto"/>
        </w:rPr>
      </w:pPr>
      <w:r>
        <w:rPr>
          <w:rFonts w:ascii="Arial" w:cs="Arial" w:eastAsia="Arial" w:hAnsi="Arial"/>
          <w:sz w:val="13"/>
          <w:szCs w:val="13"/>
          <w:b w:val="1"/>
          <w:bCs w:val="1"/>
          <w:i w:val="1"/>
          <w:iCs w:val="1"/>
          <w:color w:val="auto"/>
        </w:rPr>
        <w:t xml:space="preserve">Samuel J. Reich </w:t>
      </w:r>
      <w:r>
        <w:rPr>
          <w:rFonts w:ascii="Arial" w:cs="Arial" w:eastAsia="Arial" w:hAnsi="Arial"/>
          <w:sz w:val="13"/>
          <w:szCs w:val="13"/>
          <w:color w:val="auto"/>
        </w:rPr>
        <w:t>served as Chief Executive Officer, Chief Financial Officer and member of the Board of Directors of BCYP beginning November 2020 and was named executive chairman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 Board of Directors upon consummation of the Business Combination and election at the special meeting of BCYP stockholders. Mr. Reich co-founded Biscayne Neurotherapeutics, Inc. in 2011 and served as its Executive Chairman until its sale to Supernus Pharmaceuticals (Nasdaq: SUPN) in October 2018. Biscayne Neurotherapeutics was focused on novel treatments for seizure disorders. Previously, Mr. Reich was the Executive Vice President of OPKO Ophthalmologics, a division of OPKO Health, Inc. (Nasdaq: OPK) from March 2007 to November 2008, where Mr. Reich served on the executive committee and lead the Ophthalmologics business division. Prior to his position at OPKO, Mr. Reich was the Founder and Executive Vice President of Acuity Pharmaceuticals, Inc., where he worked from July 2002 through March 2007, at which time Acuity Pharmaceuticals merged with OPKO Health. Mr. Reich was a doctoral candidate in the Department of Ophthalmology at the University of Pennsylvania Medical School. He left graduate school prior to the completion of his Ph.D. in order to establish Acuity. Prior to that, he was a graduate student at the University of Pennsylvania in the Biomedical Studies graduate program. He has authored six peer- reviewed scientific publications, and is currently an inventor on sixteen issued U.S. patents and over 50 issued foreign patents. Mr. Reich holds a B.A. with High Honors in Biochemistry from Clark University, cum laude, Phi Beta Kappa.</w:t>
      </w:r>
    </w:p>
    <w:p>
      <w:pPr>
        <w:spacing w:after="0" w:line="136" w:lineRule="exact"/>
        <w:rPr>
          <w:sz w:val="20"/>
          <w:szCs w:val="20"/>
          <w:color w:val="auto"/>
        </w:rPr>
      </w:pPr>
    </w:p>
    <w:p>
      <w:pPr>
        <w:jc w:val="both"/>
        <w:ind w:firstLine="515"/>
        <w:spacing w:after="0" w:line="279" w:lineRule="auto"/>
        <w:rPr>
          <w:sz w:val="20"/>
          <w:szCs w:val="20"/>
          <w:color w:val="auto"/>
        </w:rPr>
      </w:pPr>
      <w:r>
        <w:rPr>
          <w:rFonts w:ascii="Arial" w:cs="Arial" w:eastAsia="Arial" w:hAnsi="Arial"/>
          <w:sz w:val="13"/>
          <w:szCs w:val="13"/>
          <w:b w:val="1"/>
          <w:bCs w:val="1"/>
          <w:i w:val="1"/>
          <w:iCs w:val="1"/>
          <w:color w:val="auto"/>
        </w:rPr>
        <w:t xml:space="preserve">Jeffrey G. Spragens </w:t>
      </w:r>
      <w:r>
        <w:rPr>
          <w:rFonts w:ascii="Arial" w:cs="Arial" w:eastAsia="Arial" w:hAnsi="Arial"/>
          <w:sz w:val="13"/>
          <w:szCs w:val="13"/>
          <w:color w:val="auto"/>
        </w:rPr>
        <w:t>served as Non-Executive Chairman of the Board of Directors of BCYP since November 2020 and became a member of our Board of Directors upon consummation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Business Combination and election at the special meeting of BCYP stockholders. From 2005 through 2013, Mr. Spragens was a Co-Founder and the CEO of SafeStitch Medical, Inc., a medical device company that pioneered incisionless surgery techniques that helps to relieve GERD and obesity. In 2013, SafeStitch merged with TransEnterix, Inc. (NYSE: TRXC). In addition, Mr. Spragens was one of the three founding board members of North American Vaccine, which became a publicly traded company in 1990. At North American Vaccine, Mr. Spragens was responsible for securing initial financing and building a commercial manufacturing facility. Mr. Spragens was instrumental in North American Vaccine’s acquisition by Baxter International (NYSE: BAX) in 1999. Mr. Spragens has also been a successful real estate developer and entrepreneur. Mr. Spragens was President of FCH services from 1973 until 1986. FCH developed and managed units of coop and condo housing financed with HUD financing with offices in several major cities. In 1986, Mr. Spragens converted to condo ownership 1,000 apartment units in San Mateo, California, resulting in one of the largest residential project in California at that time. Mr. Spragens was Managing Partner of Gateway Associates, Inc. from 1990 to 2000. In addition, Mr. Spragens developed, owned and operated apartment units in New Jersey, Michigan and Kansas, and has successfully sold many of these units. Mr. Spragens developed, and continues to own and operate Inman Grove Shopping Center in Edison, New Jersey. Mr. Spragens is also a well-known and respected philanthropist. Mr. Spragens is a Founding Board Member and Treasurer of Foundation for Peace. Foundation for Peace provides healthcare, education, and clean water to those in need in Dominican Republic and Haiti. He is also a member of the Board of Directors and Finance Committee of Hernia Help, which provides free hernia surgery to underserved children and adults in developing countries. Mr. Spragens has a BA from the University of Cincinnati, a Law Degree from George Washington University and an MA from American University. Mr. Spragens is well qualified to serve on our board of directors because of his extensive public company management and multi-sector investment experience, and his public company board experience.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76" w:name="page77"/>
    <w:bookmarkEnd w:id="76"/>
    <w:p>
      <w:pPr>
        <w:jc w:val="both"/>
        <w:ind w:firstLine="515"/>
        <w:spacing w:after="0" w:line="282" w:lineRule="auto"/>
        <w:rPr>
          <w:sz w:val="20"/>
          <w:szCs w:val="20"/>
          <w:color w:val="auto"/>
        </w:rPr>
      </w:pPr>
      <w:r>
        <w:rPr>
          <w:rFonts w:ascii="Arial" w:cs="Arial" w:eastAsia="Arial" w:hAnsi="Arial"/>
          <w:sz w:val="13"/>
          <w:szCs w:val="13"/>
          <w:b w:val="1"/>
          <w:bCs w:val="1"/>
          <w:i w:val="1"/>
          <w:iCs w:val="1"/>
          <w:color w:val="auto"/>
        </w:rPr>
        <w:t>Christine Hamilton, MBA</w:t>
      </w:r>
      <w:r>
        <w:rPr>
          <w:rFonts w:ascii="Arial" w:cs="Arial" w:eastAsia="Arial" w:hAnsi="Arial"/>
          <w:sz w:val="13"/>
          <w:szCs w:val="13"/>
          <w:color w:val="auto"/>
        </w:rPr>
        <w:t>, is a co-founder of SAB and has served as a director since 2014. Ms. Hamilton is the owner and Managing Partner of Christiansen Land and Cattle, Ltd.,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fourth-generation diversified farming and ranching enterprise. She also owns Dakota Packing, Inc., a wholesale company based in Las Vegas that provides high-end, “center-of-the-plate” protein products to a national customer base. Ms. Hamilton has served on the boards of directors for several financial and public companies including HF Financial Corporation, Home Federal Bank (now Great Western Bancorp, NYSE: GWB) and, in 2018, was recognized for her exemplary service as a board member of the Federal Reserve Bank (Ninth District) after a four-year term. She currently serves as a board member for publicly traded Titan Machinery, the Padlock Ranch and the Meadowlark Institute. Ms. Hamilton was a governor-appointed commissioner for South Dakota Game Fish &amp; Parks and is a 2016 inductee to the South Dakota Hall of Fame for her contributions to the state and agribusiness. In 2000, Ms. Hamilton and her family formed the Matson Halverson Christiansen Hamilton Foundation (MHCH), a not-for-profit foundation with a mission to improve the quality of life and create opportunities for growth and enterprise development in South Dakota. Hamilton holds a philosophy degree from Smith College in Northampton, Massachusetts and an MBA in entrepreneurship from the University of Arizona.</w:t>
      </w:r>
    </w:p>
    <w:p>
      <w:pPr>
        <w:spacing w:after="0" w:line="140"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b w:val="1"/>
          <w:bCs w:val="1"/>
          <w:i w:val="1"/>
          <w:iCs w:val="1"/>
          <w:color w:val="auto"/>
        </w:rPr>
        <w:t>Dr. William J. Polvino, MD</w:t>
      </w:r>
      <w:r>
        <w:rPr>
          <w:rFonts w:ascii="Arial" w:cs="Arial" w:eastAsia="Arial" w:hAnsi="Arial"/>
          <w:sz w:val="14"/>
          <w:szCs w:val="14"/>
          <w:color w:val="auto"/>
        </w:rPr>
        <w:t>, has served as a Director of SAB since 2019, after having served as a Business Advisor to the company for several years. Dr. Polvino is pharmaceutical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entrepreneur with more than 25 years of experience in the healthcare arena. He is currently CEO of Bridge Medicines, a pioneering drug discovery company focused on advancing promising early technologies from concept to clinic. Prior to Bridge Medicines, Dr. Polvino was president and chief executive officer of Veloxis Pharmaceuticals A/S (NASDAQ: VELO), a public biotechnology company that deployed proprietary formulation technology to develop and commercialize an innovative oral drug product for transplant patients. He also served as president and CEO of Helsinn Therapeutics (formerly Sapphire Therapeutics), and has held executive and senior-level positions in drug development at Merck, Wyeth and Theravance. Dr. Polvino earned his medical degree from Rutgers Medical School and a B.S. in Biology from Boston College. He trained in internal medicine at Massachusetts General Hospital and was a fellow in clinical pharmacology at the National Institutes of Health prior to entering the pharmaceutical and biotechnology industry.</w:t>
      </w:r>
    </w:p>
    <w:p>
      <w:pPr>
        <w:spacing w:after="0" w:line="152" w:lineRule="exact"/>
        <w:rPr>
          <w:sz w:val="20"/>
          <w:szCs w:val="20"/>
          <w:color w:val="auto"/>
        </w:rPr>
      </w:pPr>
    </w:p>
    <w:p>
      <w:pPr>
        <w:jc w:val="both"/>
        <w:ind w:firstLine="515"/>
        <w:spacing w:after="0" w:line="285" w:lineRule="auto"/>
        <w:rPr>
          <w:sz w:val="20"/>
          <w:szCs w:val="20"/>
          <w:color w:val="auto"/>
        </w:rPr>
      </w:pPr>
      <w:r>
        <w:rPr>
          <w:rFonts w:ascii="Arial" w:cs="Arial" w:eastAsia="Arial" w:hAnsi="Arial"/>
          <w:sz w:val="13"/>
          <w:szCs w:val="13"/>
          <w:b w:val="1"/>
          <w:bCs w:val="1"/>
          <w:i w:val="1"/>
          <w:iCs w:val="1"/>
          <w:color w:val="auto"/>
        </w:rPr>
        <w:t>Dr. Mervyn Turner, PhD</w:t>
      </w:r>
      <w:r>
        <w:rPr>
          <w:rFonts w:ascii="Arial" w:cs="Arial" w:eastAsia="Arial" w:hAnsi="Arial"/>
          <w:sz w:val="13"/>
          <w:szCs w:val="13"/>
          <w:color w:val="auto"/>
        </w:rPr>
        <w:t>, joined the SAB board of directors in 2020. Dr. Turner has nearly 35 years of experience in pharmaceutical drug discovery, research and development, licensing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business development, emerging markets strategy development and implementation. He spent 27 years at Merck &amp; Co. Inc., holding positions of increasing responsibility in Merck Research Laboratories before joining the company’s Executive Committee as Chief Strategy Officer. Since his retirement from Merck &amp; Co., he is currently an Advisor to Bay City Capital, a San Francisco-based venture firm, to Bridge Medicines, a commercial incubator for early-stage innovation based in New York City, and to Adagene, a China-based therapeutic antibody company. Dr. Turner is also a member of the Board of EnGeneIC (Sydney, Australia), and the Chairman of the Board of LUNAC. He also serves on the Scientific Advisory Boards of Blade Therapeutics and Spinogenix. Dr. Turner was previously a Senior Healthcare Advisor to Lazard, a leading financial services and investment banking firm. He holds his Ph.D. in Chemistry from the University of Sheffield.</w:t>
      </w:r>
    </w:p>
    <w:p>
      <w:pPr>
        <w:spacing w:after="0" w:line="137"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4"/>
          <w:szCs w:val="14"/>
          <w:b w:val="1"/>
          <w:bCs w:val="1"/>
          <w:i w:val="1"/>
          <w:iCs w:val="1"/>
          <w:color w:val="auto"/>
        </w:rPr>
        <w:t>David Link, MBA</w:t>
      </w:r>
      <w:r>
        <w:rPr>
          <w:rFonts w:ascii="Arial" w:cs="Arial" w:eastAsia="Arial" w:hAnsi="Arial"/>
          <w:sz w:val="14"/>
          <w:szCs w:val="14"/>
          <w:color w:val="auto"/>
        </w:rPr>
        <w:t>, has served as a Director of SAB since 2018 and is currently Vice-Chairman. Mr. Link is the former Executive Vice President and Chief Strategy Office at Sanford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Health with more than three decades of experience in strategy, planning and financial operations. During his tenure, Mr. Link contributed significantly to growing the organization from a regional health system into one of the nation’s largest non-profit, integrated health care delivery systems. He was also charged with overseeing Sanford Health Plan, Sanford Foundation and research and development, including Sanford Research. Under his leadership, the initial Sanford Clinic was created as well as the development of Sanford World Clinics, an initiative designed to provide communities around the world with permanent, sustainable health care infrastructure. Currently, Dave serves as an appointed program director in the President’s Office at Dakota State University, one of the nation’s leading programs in cyber security. Dave holds board or committee positions with Enterprise 605, the South Dakota REACH Committee, South Dakota Research and Commercialization Council and Sanford Research. In 2019, he was honored for his exemplary leadership and support of the state’s bioscience industry with the LIVE Award at the South Dakota Biotech. Dave holds a bachelor’s degree in data processing and computer science, an MBA from the University of South Dakota and a master’s in health care administration from the University of Minnesota.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Board Composition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business and affairs are organized under the direction of our Board of Directors. The Board currently consists of. seven (7) directors divided into three classes as follows:</w:t>
      </w:r>
    </w:p>
    <w:p>
      <w:pPr>
        <w:spacing w:after="0" w:line="182" w:lineRule="exact"/>
        <w:rPr>
          <w:sz w:val="20"/>
          <w:szCs w:val="20"/>
          <w:color w:val="auto"/>
        </w:rPr>
      </w:pPr>
    </w:p>
    <w:p>
      <w:pPr>
        <w:ind w:left="1040" w:hanging="262"/>
        <w:spacing w:after="0"/>
        <w:tabs>
          <w:tab w:leader="none" w:pos="1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each Class I director having a term that expires immediately following the Company’s annual meeting of stockholders for the calendar year ended December 31, 2021;</w:t>
      </w:r>
    </w:p>
    <w:p>
      <w:pPr>
        <w:spacing w:after="0" w:line="193" w:lineRule="exact"/>
        <w:rPr>
          <w:rFonts w:ascii="Arial" w:cs="Arial" w:eastAsia="Arial" w:hAnsi="Arial"/>
          <w:sz w:val="13"/>
          <w:szCs w:val="13"/>
          <w:color w:val="auto"/>
        </w:rPr>
      </w:pPr>
    </w:p>
    <w:p>
      <w:pPr>
        <w:ind w:left="1040" w:hanging="262"/>
        <w:spacing w:after="0"/>
        <w:tabs>
          <w:tab w:leader="none" w:pos="1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each Class II director having a term that expires immediately following the Company’s annual meeting of stockholders for the calendar year ended December 31, 2022; and</w:t>
      </w:r>
    </w:p>
    <w:p>
      <w:pPr>
        <w:spacing w:after="0" w:line="193" w:lineRule="exact"/>
        <w:rPr>
          <w:rFonts w:ascii="Arial" w:cs="Arial" w:eastAsia="Arial" w:hAnsi="Arial"/>
          <w:sz w:val="13"/>
          <w:szCs w:val="13"/>
          <w:color w:val="auto"/>
        </w:rPr>
      </w:pPr>
    </w:p>
    <w:p>
      <w:pPr>
        <w:ind w:left="1040" w:hanging="262"/>
        <w:spacing w:after="0"/>
        <w:tabs>
          <w:tab w:leader="none" w:pos="10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each Class III director having a term that expires immediately following the Company’s annual meeting of stockholders for the calendar year ended December 31, 2023</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or, in each case, until their respective successor is duly elected and qualified, or until their earlier resignation, removal or death. Pursuant to the Business Combination Agreement, one Class II director and one Class III director will be appointed by the Sponsor and four of the directors will be independent under applicable Nasdaq Listing Rules.</w:t>
      </w:r>
    </w:p>
    <w:p>
      <w:pPr>
        <w:spacing w:after="0" w:line="131"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Messrs. Polvino and Turner currently serve as the Class I directors, Messrs. Link and Spragens currently serve as the Class II directors, and Mrs. Hamilton and Messrs. Reich and Sullivan currently serve as Class III directors.</w:t>
      </w:r>
    </w:p>
    <w:p>
      <w:pPr>
        <w:spacing w:after="0" w:line="131"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3"/>
          <w:szCs w:val="13"/>
          <w:color w:val="auto"/>
        </w:rPr>
        <w:t>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the board of directors will be fixed exclusively by resolutions of the board of directors. The authorized number of directors may be changed only by resolution of the board of directors. Any additional directorships resulting from an increase in the number of directors will be distributed between the three classes so that, as nearly as possible, each class will consist of one-third of the directors. This classification of the board of directors may have the effect of delaying or preventing changes in its control or management. Our board of directors may be removed for cause by the affirmative vote of the holders of at least 66 2/3% of its voting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186"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Our board of directors has three standing committees: an audit committee, a nominating and corporate governance committee (“nominating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and nominating committee of a listed company be comprised solely of independent directors. Each of our committees is comprised entirely of independent directors.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186"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On October 22, 2021, we established an audit committee of the board of directors. Jeffrey Spragens, William Polvino and David Link serve as members of the Audit Committee, with Jeffrey Spragens serving as the Chairman of the Audit Committee. Under the Nasdaq listing standards and applicable SEC rules, we are required to have at least three members of the audit committee, all of whom must be independent. Each of Messrs. Polvino, Spragens and Link meet the independent director standard under Nasdaq listing standards and under Rule 10A-3(b)(1) of the Exchange Act.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8" w:name="page79"/>
    <w:bookmarkEnd w:id="78"/>
    <w:p>
      <w:pPr>
        <w:ind w:firstLine="515"/>
        <w:spacing w:after="0" w:line="286" w:lineRule="auto"/>
        <w:rPr>
          <w:sz w:val="20"/>
          <w:szCs w:val="20"/>
          <w:color w:val="auto"/>
        </w:rPr>
      </w:pPr>
      <w:r>
        <w:rPr>
          <w:rFonts w:ascii="Arial" w:cs="Arial" w:eastAsia="Arial" w:hAnsi="Arial"/>
          <w:sz w:val="14"/>
          <w:szCs w:val="14"/>
          <w:color w:val="auto"/>
        </w:rPr>
        <w:t>Each member of the audit committee is financially literate and our board of directors has determined that Mr. Spragens qualifies as an “audit committee financial expert” as defined in applicable SEC rules.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adopted a restated audit committee charter on October 22, 2021 and which subsequently which details the principal functions of the audit committee, including:</w:t>
      </w:r>
    </w:p>
    <w:p>
      <w:pPr>
        <w:spacing w:after="0" w:line="182" w:lineRule="exact"/>
        <w:rPr>
          <w:sz w:val="20"/>
          <w:szCs w:val="20"/>
          <w:color w:val="auto"/>
        </w:rPr>
      </w:pPr>
    </w:p>
    <w:p>
      <w:pPr>
        <w:ind w:left="520" w:hanging="257"/>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appointment, compensation, retention, replacement, and oversight of the work of the independent registered public accounting firm engaged by us;</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pre-approving all audit and permitted non-audit services to be provided by the independent registered public accounting firm engaged by us, and establishing pre-approval policies and procedures;</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setting clear hiring policies for employees or former employees of the independent registered public accounting firm, including but not limited to, as required by applicable laws and regulations;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setting clear policies for audit partner rotation in compliance with applicable laws and regulations;</w:t>
      </w:r>
    </w:p>
    <w:p>
      <w:pPr>
        <w:spacing w:after="0" w:line="182" w:lineRule="exact"/>
        <w:rPr>
          <w:rFonts w:ascii="Arial" w:cs="Arial" w:eastAsia="Arial" w:hAnsi="Arial"/>
          <w:sz w:val="14"/>
          <w:szCs w:val="14"/>
          <w:color w:val="auto"/>
        </w:rPr>
      </w:pPr>
    </w:p>
    <w:p>
      <w:pPr>
        <w:jc w:val="both"/>
        <w:ind w:left="520" w:hanging="257"/>
        <w:spacing w:after="0" w:line="280"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w:t>
      </w:r>
    </w:p>
    <w:p>
      <w:pPr>
        <w:spacing w:after="0" w:line="1" w:lineRule="exact"/>
        <w:rPr>
          <w:rFonts w:ascii="Arial" w:cs="Arial" w:eastAsia="Arial" w:hAnsi="Arial"/>
          <w:sz w:val="13"/>
          <w:szCs w:val="13"/>
          <w:color w:val="auto"/>
        </w:rPr>
      </w:pPr>
    </w:p>
    <w:p>
      <w:pPr>
        <w:ind w:left="780" w:hanging="259"/>
        <w:spacing w:after="0"/>
        <w:tabs>
          <w:tab w:leader="none" w:pos="7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relationships between the independent registered public accounting firm and us to assess the independent registered public accounting firm’s independence;</w:t>
      </w:r>
    </w:p>
    <w:p>
      <w:pPr>
        <w:spacing w:after="0" w:line="17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reviewing and approving any related party transaction required to be disclosed pursuant to Item 404 of Regulation S-K promulgated by the SEC prior to us entering into such transaction; and</w:t>
      </w:r>
    </w:p>
    <w:p>
      <w:pPr>
        <w:spacing w:after="0" w:line="131" w:lineRule="exact"/>
        <w:rPr>
          <w:rFonts w:ascii="Arial" w:cs="Arial" w:eastAsia="Arial" w:hAnsi="Arial"/>
          <w:sz w:val="14"/>
          <w:szCs w:val="14"/>
          <w:color w:val="auto"/>
        </w:rPr>
      </w:pPr>
    </w:p>
    <w:p>
      <w:pPr>
        <w:jc w:val="both"/>
        <w:ind w:left="520" w:hanging="257"/>
        <w:spacing w:after="0" w:line="301"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October 22, 2021, we established a compensation committee of the board of directors. Christine Hamilton, Bill Polvino and Mervyn Turner serve as members of the Compensation Committee. Christine Hamilton serves as the Chairman of the Compensation Committee. Under the Nasdaq listing standards and applicable SEC rules, we are required to have at least two members of the compensation committee, all of whom must be independent. Each of Messrs. Polvino andTurner and Ms. Hamilton are independent.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adopted a restated compensation committee charter on October 22, 2021, which details the principal functions of the compensation committee, including:</w:t>
      </w:r>
    </w:p>
    <w:p>
      <w:pPr>
        <w:spacing w:after="0" w:line="182" w:lineRule="exact"/>
        <w:rPr>
          <w:sz w:val="20"/>
          <w:szCs w:val="20"/>
          <w:color w:val="auto"/>
        </w:rPr>
      </w:pPr>
    </w:p>
    <w:p>
      <w:pPr>
        <w:ind w:left="520" w:hanging="257"/>
        <w:spacing w:after="0" w:line="326" w:lineRule="auto"/>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08" w:lineRule="exact"/>
        <w:rPr>
          <w:rFonts w:ascii="Arial" w:cs="Arial" w:eastAsia="Arial" w:hAnsi="Arial"/>
          <w:sz w:val="13"/>
          <w:szCs w:val="13"/>
          <w:color w:val="auto"/>
        </w:rPr>
      </w:pPr>
    </w:p>
    <w:p>
      <w:pPr>
        <w:ind w:left="520" w:hanging="257"/>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reviewing and approving on an annual basis the compensation, if any is paid by us, of all of our other officers;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reviewing on an annual basis our executive compensation policies and plans;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implementing and administering our incentive compensation equity-based remuneration plans;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79" w:name="page80"/>
    <w:bookmarkEnd w:id="79"/>
    <w:p>
      <w:pPr>
        <w:ind w:left="520" w:hanging="257"/>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assisting management in complying with our proxy statement and annual report disclosure requirements;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approving all special perquisites, special cash payments and other special compensation and benefit arrangements for our officers and employees;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if required, producing a report on executive compensation to be included in our annual proxy statement;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reviewing, evaluating and recommending changes, if appropriate, to the remuneration for directors.</w:t>
      </w:r>
    </w:p>
    <w:p>
      <w:pPr>
        <w:spacing w:after="0" w:line="182"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Notwithstanding the foregoing, other than as indicated in this prospectus, no compensation of any kind, including finders, consulting or other similar fees, will be paid to any of our existing stockholders, officers, directors or any of their respective affiliates, prior to, or for any services they render in order to effectuate the</w:t>
      </w:r>
    </w:p>
    <w:p>
      <w:pPr>
        <w:spacing w:after="0" w:line="131"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No person who served as a member of the Compensation Committee during the fiscal year ended December 31, 2020 was a current or former officer or employee of the Company or engaged in certain transactions with the Company required to be disclosed by regulations of the SEC. Additionally, there were no compensation committee “interlocks” during the fiscal year ended December 31, 2020, which generally means that no executive officer of the Company served as a director or member of the compensation committee of another entity, one of whose executive officers served as a director or member of the Compensation Committee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Nominating Committee</w:t>
      </w:r>
    </w:p>
    <w:p>
      <w:pPr>
        <w:spacing w:after="0" w:line="182"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On October 22, 2021, we established a nominating committee of the board of directors. David Link, Christine Hamilton, Jeff Spragens and Mervyn Turner serve as members of the Nominating and Governance Committee. David Link serves as the Chairman of the Nominating and Governance Committee. Under the Nasdaq listing standards and applicable SEC rules, we are required to have at least two members of the nominating committee, all of whom must be independent. Each of Ms. Hamilton, Mr. Link, Mr. Spragens and Dr. Turner are independent.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adopted a restated nominating committee charter on October 22, 2021, which details the purpose and responsibilities of the nominating committee, including:</w:t>
      </w:r>
    </w:p>
    <w:p>
      <w:pPr>
        <w:spacing w:after="0" w:line="182" w:lineRule="exact"/>
        <w:rPr>
          <w:sz w:val="20"/>
          <w:szCs w:val="20"/>
          <w:color w:val="auto"/>
        </w:rPr>
      </w:pPr>
    </w:p>
    <w:p>
      <w:pPr>
        <w:ind w:left="520" w:hanging="257"/>
        <w:spacing w:after="0" w:line="286"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developing and recommending to the board of directors and overseeing implementation of our corporate governance guidelines;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reviewing on a regular basis our overall corporate governance and recommending improvements as and when necessary.</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0" w:name="page81"/>
    <w:bookmarkEnd w:id="80"/>
    <w:p>
      <w:pPr>
        <w:jc w:val="both"/>
        <w:ind w:firstLine="515"/>
        <w:spacing w:after="0" w:line="271" w:lineRule="auto"/>
        <w:rPr>
          <w:sz w:val="20"/>
          <w:szCs w:val="20"/>
          <w:color w:val="auto"/>
        </w:rPr>
      </w:pPr>
      <w:r>
        <w:rPr>
          <w:rFonts w:ascii="Arial" w:cs="Arial" w:eastAsia="Arial" w:hAnsi="Arial"/>
          <w:sz w:val="14"/>
          <w:szCs w:val="14"/>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Nominations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process of recommending director nominees for selection by the board of directors is undertaken by the nominating committee (see above).</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86"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We adopted a restated Code of Ethics applicable to our directors, officers and employees on October 22, 2021. A copy of our Code of Ethics and copies of our audit, nominating and compensation committee charters are available on our website at https://www.sabbiotherapeutics.com/. In addition, a copy of the Code of Ethics will be provided without charge upon request from us. We intend to disclose any amendments to or waivers of certain provisions of our Code of Ethics in a Current Report on Form 8-K. Please see “</w:t>
      </w:r>
      <w:r>
        <w:rPr>
          <w:rFonts w:ascii="Arial" w:cs="Arial" w:eastAsia="Arial" w:hAnsi="Arial"/>
          <w:sz w:val="13"/>
          <w:szCs w:val="13"/>
          <w:i w:val="1"/>
          <w:iCs w:val="1"/>
          <w:color w:val="auto"/>
        </w:rPr>
        <w:t>Where You Can Find Additional Information</w:t>
      </w:r>
      <w:r>
        <w:rPr>
          <w:rFonts w:ascii="Arial" w:cs="Arial" w:eastAsia="Arial" w:hAnsi="Arial"/>
          <w:sz w:val="13"/>
          <w:szCs w:val="13"/>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There is no material litigation, arbitration or governmental proceeding currently pending against us or any members of our management in their capacity as such.</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Periodic Reporting and Audited Financial Statements</w:t>
      </w:r>
    </w:p>
    <w:p>
      <w:pPr>
        <w:spacing w:after="0" w:line="186"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The Company has registered its securities under the Exchange Act and has reporting obligations, including the requirement to file annual and quarterly reports with the SEC. In accordance with the requirements of the Exchange Act, the Company’s annual reports contain financial statements audited and reported on by the Company’s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Interlocks and Insider Participation</w:t>
      </w:r>
    </w:p>
    <w:p>
      <w:pPr>
        <w:spacing w:after="0" w:line="186"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None of the intended members of the compensation committee has ever been an executive officer or employee of the Company. None of the executive officers currently serves, or has served during the last completed fiscal year, on the compensation committee or board of directors of any other entity that has one or more executive officers that will serve as a member of the board of directors or compensation committee. For a description of transactions between the Company and members of the compensation committee and affiliates of such members, please see the section of this prospectus entitled “</w:t>
      </w:r>
      <w:r>
        <w:rPr>
          <w:rFonts w:ascii="Arial" w:cs="Arial" w:eastAsia="Arial" w:hAnsi="Arial"/>
          <w:sz w:val="14"/>
          <w:szCs w:val="14"/>
          <w:i w:val="1"/>
          <w:iCs w:val="1"/>
          <w:color w:val="auto"/>
        </w:rPr>
        <w:t>Certain Relationships and Related Party Transactions</w:t>
      </w:r>
      <w:r>
        <w:rPr>
          <w:rFonts w:ascii="Arial" w:cs="Arial" w:eastAsia="Arial" w:hAnsi="Arial"/>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BCYP</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Prior to the closing of the Business Combination, BCYP did not enter into any employment agreements with its executive officers and did not make any agreements to provide benefits upon termination of employment.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Officers and Director Compensation</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No BCYP executive officers or directors received any cash compensation for services rendered to BCYP. Executive officers and directors, or any of their respective affiliates were reimbursed for any out-of-pocket expenses incurred in connection with activities on BCYP behalf such as identifying potential target businesses and performing due diligence on suitable business combinations.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 Biotherapeutics, Inc.</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Upon the closing of the Business Combination, the executive officers of OLD SAB became executive officers of the Company.</w:t>
      </w:r>
    </w:p>
    <w:p>
      <w:pPr>
        <w:spacing w:after="0" w:line="182"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The following is a discussion and analysis of compensation arrangements of the Company’s named executive officers. This discussion may contain forward-looking statements that are based on the Company’s current plans, considerations, expectations and determinations regarding future compensation programs. The actual compensation programs that the Company adopts may differ materially from the currently planned programs that are summarized in this discussion. As an “emerging growth company” as defined in the JOBS Act, we are not required to include a Compensation Discussion and Analysis section and have elected to comply with the scaled disclosure requirements applicable to emerging growth companies. Unless the context otherwise requires, all references in this section to SAB or SAB Biotherapeutics refer to OLD SAB and/or its subsidiaries prior to the consummation of the Business Combination and to NEW SAB and its subsidiaries after the Business Combination.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Executive Compensation Table for Fiscal 2020</w:t>
      </w:r>
    </w:p>
    <w:p>
      <w:pPr>
        <w:spacing w:after="0" w:line="186"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The following table sets forth information regarding the compensation awarded to, earned by or paid to SAB Biotherapeutics’ named executive officers for the fiscal year ended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Compensation</w:t>
            </w: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8"/>
        </w:trPr>
        <w:tc>
          <w:tcPr>
            <w:tcW w:w="530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78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72"/>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Eddie J. Sullivan</w:t>
            </w: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53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&amp; CEO</w:t>
            </w:r>
          </w:p>
        </w:tc>
        <w:tc>
          <w:tcPr>
            <w:tcW w:w="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2020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344,615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124,500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519,115</w:t>
            </w:r>
          </w:p>
        </w:tc>
      </w:tr>
      <w:tr>
        <w:trPr>
          <w:trHeight w:val="161"/>
        </w:trPr>
        <w:tc>
          <w:tcPr>
            <w:tcW w:w="5300" w:type="dxa"/>
            <w:vAlign w:val="bottom"/>
          </w:tcPr>
          <w:p>
            <w:pPr>
              <w:spacing w:after="0"/>
              <w:rPr>
                <w:sz w:val="20"/>
                <w:szCs w:val="20"/>
                <w:color w:val="auto"/>
              </w:rPr>
            </w:pPr>
            <w:r>
              <w:rPr>
                <w:rFonts w:ascii="Arial" w:cs="Arial" w:eastAsia="Arial" w:hAnsi="Arial"/>
                <w:sz w:val="14"/>
                <w:szCs w:val="14"/>
                <w:color w:val="auto"/>
              </w:rPr>
              <w:t>Thomas C. Luke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5300" w:type="dxa"/>
            <w:vAlign w:val="bottom"/>
          </w:tcPr>
          <w:p>
            <w:pPr>
              <w:spacing w:after="0"/>
              <w:rPr>
                <w:sz w:val="20"/>
                <w:szCs w:val="20"/>
                <w:color w:val="auto"/>
              </w:rPr>
            </w:pPr>
            <w:r>
              <w:rPr>
                <w:rFonts w:ascii="Arial" w:cs="Arial" w:eastAsia="Arial" w:hAnsi="Arial"/>
                <w:sz w:val="14"/>
                <w:szCs w:val="14"/>
                <w:i w:val="1"/>
                <w:iCs w:val="1"/>
                <w:color w:val="auto"/>
              </w:rPr>
              <w:t>Chief Medical Officer</w:t>
            </w:r>
          </w:p>
        </w:tc>
        <w:tc>
          <w:tcPr>
            <w:tcW w:w="78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2020</w:t>
            </w:r>
          </w:p>
        </w:tc>
        <w:tc>
          <w:tcPr>
            <w:tcW w:w="220" w:type="dxa"/>
            <w:vAlign w:val="bottom"/>
          </w:tcPr>
          <w:p>
            <w:pPr>
              <w:spacing w:after="0"/>
              <w:rPr>
                <w:sz w:val="15"/>
                <w:szCs w:val="15"/>
                <w:color w:val="auto"/>
              </w:rPr>
            </w:pPr>
          </w:p>
        </w:tc>
        <w:tc>
          <w:tcPr>
            <w:tcW w:w="1000" w:type="dxa"/>
            <w:vAlign w:val="bottom"/>
            <w:gridSpan w:val="2"/>
          </w:tcPr>
          <w:p>
            <w:pPr>
              <w:ind w:left="320"/>
              <w:spacing w:after="0"/>
              <w:rPr>
                <w:sz w:val="20"/>
                <w:szCs w:val="20"/>
                <w:color w:val="auto"/>
              </w:rPr>
            </w:pPr>
            <w:r>
              <w:rPr>
                <w:rFonts w:ascii="Arial" w:cs="Arial" w:eastAsia="Arial" w:hAnsi="Arial"/>
                <w:sz w:val="14"/>
                <w:szCs w:val="14"/>
                <w:color w:val="auto"/>
              </w:rPr>
              <w:t>300,000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105,000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25,000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ind w:left="320"/>
              <w:spacing w:after="0"/>
              <w:rPr>
                <w:sz w:val="20"/>
                <w:szCs w:val="20"/>
                <w:color w:val="auto"/>
              </w:rPr>
            </w:pPr>
            <w:r>
              <w:rPr>
                <w:rFonts w:ascii="Arial" w:cs="Arial" w:eastAsia="Arial" w:hAnsi="Arial"/>
                <w:sz w:val="14"/>
                <w:szCs w:val="14"/>
                <w:color w:val="auto"/>
              </w:rPr>
              <w:t>430,000</w:t>
            </w:r>
          </w:p>
        </w:tc>
      </w:tr>
      <w:tr>
        <w:trPr>
          <w:trHeight w:val="173"/>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Charles H. Randall, Jr.</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2"/>
        </w:trPr>
        <w:tc>
          <w:tcPr>
            <w:tcW w:w="53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EVP, Chief Strategy Officer</w:t>
            </w:r>
          </w:p>
        </w:tc>
        <w:tc>
          <w:tcPr>
            <w:tcW w:w="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2020</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275,000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96,250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396,250</w:t>
            </w:r>
          </w:p>
        </w:tc>
      </w:tr>
      <w:tr>
        <w:trPr>
          <w:trHeight w:val="345"/>
        </w:trPr>
        <w:tc>
          <w:tcPr>
            <w:tcW w:w="5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Summary Director Compensation Table for Fiscal 2020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the compensation awarded to, earned by or paid to SAB Biotherapeutics’ directors for the fiscal year ended December 31,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589"/>
              <w:spacing w:after="0"/>
              <w:rPr>
                <w:sz w:val="20"/>
                <w:szCs w:val="20"/>
                <w:color w:val="auto"/>
              </w:rPr>
            </w:pPr>
            <w:r>
              <w:rPr>
                <w:rFonts w:ascii="Arial" w:cs="Arial" w:eastAsia="Arial" w:hAnsi="Arial"/>
                <w:sz w:val="14"/>
                <w:szCs w:val="14"/>
                <w:b w:val="1"/>
                <w:bCs w:val="1"/>
                <w:color w:val="auto"/>
                <w:w w:val="98"/>
              </w:rPr>
              <w:t>All Other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Fees Earned or Paid</w:t>
            </w:r>
          </w:p>
        </w:tc>
        <w:tc>
          <w:tcPr>
            <w:tcW w:w="140" w:type="dxa"/>
            <w:vAlign w:val="bottom"/>
          </w:tcPr>
          <w:p>
            <w:pPr>
              <w:spacing w:after="0"/>
              <w:rPr>
                <w:sz w:val="14"/>
                <w:szCs w:val="14"/>
                <w:color w:val="auto"/>
              </w:rPr>
            </w:pPr>
          </w:p>
        </w:tc>
        <w:tc>
          <w:tcPr>
            <w:tcW w:w="1580" w:type="dxa"/>
            <w:vAlign w:val="bottom"/>
            <w:gridSpan w:val="3"/>
          </w:tcPr>
          <w:p>
            <w:pPr>
              <w:jc w:val="right"/>
              <w:ind w:right="529"/>
              <w:spacing w:after="0"/>
              <w:rPr>
                <w:sz w:val="20"/>
                <w:szCs w:val="20"/>
                <w:color w:val="auto"/>
              </w:rPr>
            </w:pPr>
            <w:r>
              <w:rPr>
                <w:rFonts w:ascii="Arial" w:cs="Arial" w:eastAsia="Arial" w:hAnsi="Arial"/>
                <w:sz w:val="14"/>
                <w:szCs w:val="14"/>
                <w:b w:val="1"/>
                <w:bCs w:val="1"/>
                <w:color w:val="auto"/>
                <w:w w:val="98"/>
              </w:rPr>
              <w:t>Option Awards</w:t>
            </w:r>
          </w:p>
        </w:tc>
        <w:tc>
          <w:tcPr>
            <w:tcW w:w="1700" w:type="dxa"/>
            <w:vAlign w:val="bottom"/>
            <w:gridSpan w:val="3"/>
          </w:tcPr>
          <w:p>
            <w:pPr>
              <w:jc w:val="center"/>
              <w:ind w:right="609"/>
              <w:spacing w:after="0"/>
              <w:rPr>
                <w:sz w:val="20"/>
                <w:szCs w:val="20"/>
                <w:color w:val="auto"/>
              </w:rPr>
            </w:pPr>
            <w:r>
              <w:rPr>
                <w:rFonts w:ascii="Arial" w:cs="Arial" w:eastAsia="Arial" w:hAnsi="Arial"/>
                <w:sz w:val="14"/>
                <w:szCs w:val="14"/>
                <w:b w:val="1"/>
                <w:bCs w:val="1"/>
                <w:color w:val="auto"/>
                <w:w w:val="90"/>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in Cash ($)</w:t>
            </w:r>
          </w:p>
        </w:tc>
        <w:tc>
          <w:tcPr>
            <w:tcW w:w="14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jc w:val="center"/>
              <w:ind w:right="589"/>
              <w:spacing w:after="0"/>
              <w:rPr>
                <w:sz w:val="20"/>
                <w:szCs w:val="20"/>
                <w:color w:val="auto"/>
              </w:rPr>
            </w:pPr>
            <w:r>
              <w:rPr>
                <w:rFonts w:ascii="Arial" w:cs="Arial" w:eastAsia="Arial" w:hAnsi="Arial"/>
                <w:sz w:val="14"/>
                <w:szCs w:val="14"/>
                <w:b w:val="1"/>
                <w:bCs w:val="1"/>
                <w:color w:val="auto"/>
                <w:w w:val="96"/>
              </w:rPr>
              <w:t>(S)</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72"/>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Eddie J. Sullivan, PhD.</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4980" w:type="dxa"/>
            <w:vAlign w:val="bottom"/>
          </w:tcPr>
          <w:p>
            <w:pPr>
              <w:spacing w:after="0"/>
              <w:rPr>
                <w:sz w:val="20"/>
                <w:szCs w:val="20"/>
                <w:color w:val="auto"/>
              </w:rPr>
            </w:pPr>
            <w:r>
              <w:rPr>
                <w:rFonts w:ascii="Arial" w:cs="Arial" w:eastAsia="Arial" w:hAnsi="Arial"/>
                <w:sz w:val="14"/>
                <w:szCs w:val="14"/>
                <w:color w:val="auto"/>
              </w:rPr>
              <w:t>Christine Hamilton, MBA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150,000</w:t>
            </w:r>
          </w:p>
        </w:tc>
        <w:tc>
          <w:tcPr>
            <w:tcW w:w="1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175,000</w:t>
            </w:r>
          </w:p>
        </w:tc>
      </w:tr>
      <w:tr>
        <w:trPr>
          <w:trHeight w:val="17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Mani Mohindru, PhD.</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6,250</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150,000</w:t>
            </w: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156,250</w:t>
            </w:r>
          </w:p>
        </w:tc>
      </w:tr>
      <w:tr>
        <w:trPr>
          <w:trHeight w:val="172"/>
        </w:trPr>
        <w:tc>
          <w:tcPr>
            <w:tcW w:w="4980" w:type="dxa"/>
            <w:vAlign w:val="bottom"/>
          </w:tcPr>
          <w:p>
            <w:pPr>
              <w:spacing w:after="0"/>
              <w:rPr>
                <w:sz w:val="20"/>
                <w:szCs w:val="20"/>
                <w:color w:val="auto"/>
              </w:rPr>
            </w:pPr>
            <w:r>
              <w:rPr>
                <w:rFonts w:ascii="Arial" w:cs="Arial" w:eastAsia="Arial" w:hAnsi="Arial"/>
                <w:sz w:val="14"/>
                <w:szCs w:val="14"/>
                <w:color w:val="auto"/>
              </w:rPr>
              <w:t>William J. Polvino, MD, PhD.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325,000</w:t>
            </w:r>
          </w:p>
        </w:tc>
      </w:tr>
      <w:tr>
        <w:trPr>
          <w:trHeight w:val="17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Mervyn Turner, PhD.</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6,250</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150,000</w:t>
            </w: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156,250</w:t>
            </w:r>
          </w:p>
        </w:tc>
      </w:tr>
      <w:tr>
        <w:trPr>
          <w:trHeight w:val="172"/>
        </w:trPr>
        <w:tc>
          <w:tcPr>
            <w:tcW w:w="4980" w:type="dxa"/>
            <w:vAlign w:val="bottom"/>
          </w:tcPr>
          <w:p>
            <w:pPr>
              <w:spacing w:after="0"/>
              <w:rPr>
                <w:sz w:val="20"/>
                <w:szCs w:val="20"/>
                <w:color w:val="auto"/>
              </w:rPr>
            </w:pPr>
            <w:r>
              <w:rPr>
                <w:rFonts w:ascii="Arial" w:cs="Arial" w:eastAsia="Arial" w:hAnsi="Arial"/>
                <w:sz w:val="14"/>
                <w:szCs w:val="14"/>
                <w:color w:val="auto"/>
              </w:rPr>
              <w:t>David Link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150,000</w:t>
            </w:r>
          </w:p>
        </w:tc>
        <w:tc>
          <w:tcPr>
            <w:tcW w:w="1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175,000</w:t>
            </w:r>
          </w:p>
        </w:tc>
      </w:tr>
      <w:tr>
        <w:trPr>
          <w:trHeight w:val="17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Edward Hamilton, DVM</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2020 Year-End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outstanding equity awards held by SAB Biotherapeutics’ named executive officers as of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7"/>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3"/>
              </w:rPr>
              <w:t>Equity</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incentive</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plan</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awards: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securities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underlying</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unexercised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r>
      <w:tr>
        <w:trPr>
          <w:trHeight w:val="172"/>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Options (#)</w:t>
            </w:r>
          </w:p>
        </w:tc>
        <w:tc>
          <w:tcPr>
            <w:tcW w:w="1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 (#)</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unearned</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88"/>
        </w:trPr>
        <w:tc>
          <w:tcPr>
            <w:tcW w:w="4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options (#)</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72"/>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Eddie J. Sullivan</w:t>
            </w:r>
          </w:p>
        </w:tc>
        <w:tc>
          <w:tcPr>
            <w:tcW w:w="2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91"/>
              </w:rPr>
              <w:t>08/05/2014</w:t>
            </w: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139,585</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80"/>
              </w:rPr>
              <w:t>0.54</w:t>
            </w:r>
          </w:p>
        </w:tc>
        <w:tc>
          <w:tcPr>
            <w:tcW w:w="3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91"/>
              </w:rPr>
              <w:t>08/05/2024</w:t>
            </w: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Eddie J. Sullivan</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12/12/2014</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162,850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540"/>
              <w:spacing w:after="0"/>
              <w:rPr>
                <w:sz w:val="20"/>
                <w:szCs w:val="20"/>
                <w:color w:val="auto"/>
              </w:rPr>
            </w:pPr>
            <w:r>
              <w:rPr>
                <w:rFonts w:ascii="Arial" w:cs="Arial" w:eastAsia="Arial" w:hAnsi="Arial"/>
                <w:sz w:val="14"/>
                <w:szCs w:val="14"/>
                <w:color w:val="auto"/>
              </w:rPr>
              <w:t>0.54</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w w:val="91"/>
              </w:rPr>
              <w:t>12/12/2024</w:t>
            </w:r>
          </w:p>
        </w:tc>
      </w:tr>
      <w:tr>
        <w:trPr>
          <w:trHeight w:val="17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Eddie J. Sullivan</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12/12/2014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162,850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0.54</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1"/>
              </w:rPr>
              <w:t>12/12/2024</w:t>
            </w: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Eddie J. Sullivan</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04/27/2020</w:t>
            </w:r>
          </w:p>
        </w:tc>
        <w:tc>
          <w:tcPr>
            <w:tcW w:w="1260" w:type="dxa"/>
            <w:vAlign w:val="bottom"/>
            <w:gridSpan w:val="4"/>
          </w:tcPr>
          <w:p>
            <w:pPr>
              <w:jc w:val="right"/>
              <w:ind w:right="160"/>
              <w:spacing w:after="0"/>
              <w:rPr>
                <w:sz w:val="20"/>
                <w:szCs w:val="20"/>
                <w:color w:val="auto"/>
              </w:rPr>
            </w:pPr>
            <w:r>
              <w:rPr>
                <w:rFonts w:ascii="Arial" w:cs="Arial" w:eastAsia="Arial" w:hAnsi="Arial"/>
                <w:sz w:val="14"/>
                <w:szCs w:val="14"/>
                <w:color w:val="auto"/>
              </w:rPr>
              <w:t>23,264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540"/>
              <w:spacing w:after="0"/>
              <w:rPr>
                <w:sz w:val="20"/>
                <w:szCs w:val="20"/>
                <w:color w:val="auto"/>
              </w:rPr>
            </w:pPr>
            <w:r>
              <w:rPr>
                <w:rFonts w:ascii="Arial" w:cs="Arial" w:eastAsia="Arial" w:hAnsi="Arial"/>
                <w:sz w:val="14"/>
                <w:szCs w:val="14"/>
                <w:color w:val="auto"/>
              </w:rPr>
              <w:t>2.69</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w w:val="91"/>
              </w:rPr>
              <w:t>04/27/2030</w:t>
            </w:r>
          </w:p>
        </w:tc>
      </w:tr>
      <w:tr>
        <w:trPr>
          <w:trHeight w:val="17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Thomas C. Luke</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10/01/2018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139,585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2.15</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1"/>
              </w:rPr>
              <w:t>10/01/2028</w:t>
            </w: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Thomas C. Luke</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04/27/2020</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11,632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540"/>
              <w:spacing w:after="0"/>
              <w:rPr>
                <w:sz w:val="20"/>
                <w:szCs w:val="20"/>
                <w:color w:val="auto"/>
              </w:rPr>
            </w:pPr>
            <w:r>
              <w:rPr>
                <w:rFonts w:ascii="Arial" w:cs="Arial" w:eastAsia="Arial" w:hAnsi="Arial"/>
                <w:sz w:val="14"/>
                <w:szCs w:val="14"/>
                <w:color w:val="auto"/>
              </w:rPr>
              <w:t>2.69</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w w:val="91"/>
              </w:rPr>
              <w:t>04/27/2030</w:t>
            </w:r>
          </w:p>
        </w:tc>
      </w:tr>
      <w:tr>
        <w:trPr>
          <w:trHeight w:val="17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Charles H. Randall</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11/05/2014</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116,321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0.54</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8"/>
              </w:rPr>
              <w:t>11/05/2024</w:t>
            </w: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Charles H. Randall</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11/05/2014</w:t>
            </w:r>
          </w:p>
        </w:tc>
        <w:tc>
          <w:tcPr>
            <w:tcW w:w="1260" w:type="dxa"/>
            <w:vAlign w:val="bottom"/>
            <w:gridSpan w:val="4"/>
          </w:tcPr>
          <w:p>
            <w:pPr>
              <w:jc w:val="right"/>
              <w:ind w:right="160"/>
              <w:spacing w:after="0"/>
              <w:rPr>
                <w:sz w:val="20"/>
                <w:szCs w:val="20"/>
                <w:color w:val="auto"/>
              </w:rPr>
            </w:pPr>
            <w:r>
              <w:rPr>
                <w:rFonts w:ascii="Arial" w:cs="Arial" w:eastAsia="Arial" w:hAnsi="Arial"/>
                <w:sz w:val="14"/>
                <w:szCs w:val="14"/>
                <w:color w:val="auto"/>
              </w:rPr>
              <w:t>116,321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ind w:left="540"/>
              <w:spacing w:after="0"/>
              <w:rPr>
                <w:sz w:val="20"/>
                <w:szCs w:val="20"/>
                <w:color w:val="auto"/>
              </w:rPr>
            </w:pPr>
            <w:r>
              <w:rPr>
                <w:rFonts w:ascii="Arial" w:cs="Arial" w:eastAsia="Arial" w:hAnsi="Arial"/>
                <w:sz w:val="14"/>
                <w:szCs w:val="14"/>
                <w:color w:val="auto"/>
              </w:rPr>
              <w:t>0.54</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w w:val="88"/>
              </w:rPr>
              <w:t>11/05/2024</w:t>
            </w:r>
          </w:p>
        </w:tc>
      </w:tr>
      <w:tr>
        <w:trPr>
          <w:trHeight w:val="17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Charles H. Randall</w:t>
            </w:r>
          </w:p>
        </w:tc>
        <w:tc>
          <w:tcPr>
            <w:tcW w:w="10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11/05/2014</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116,321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0.54</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88"/>
              </w:rPr>
              <w:t>11/05/2024</w:t>
            </w:r>
          </w:p>
        </w:tc>
      </w:tr>
      <w:tr>
        <w:trPr>
          <w:trHeight w:val="181"/>
        </w:trPr>
        <w:tc>
          <w:tcPr>
            <w:tcW w:w="4500" w:type="dxa"/>
            <w:vAlign w:val="bottom"/>
          </w:tcPr>
          <w:p>
            <w:pPr>
              <w:spacing w:after="0"/>
              <w:rPr>
                <w:sz w:val="20"/>
                <w:szCs w:val="20"/>
                <w:color w:val="auto"/>
              </w:rPr>
            </w:pPr>
            <w:r>
              <w:rPr>
                <w:rFonts w:ascii="Arial" w:cs="Arial" w:eastAsia="Arial" w:hAnsi="Arial"/>
                <w:sz w:val="14"/>
                <w:szCs w:val="14"/>
                <w:color w:val="auto"/>
              </w:rPr>
              <w:t>Charles H. Randall</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04/27/2020</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11,632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ind w:left="540"/>
              <w:spacing w:after="0"/>
              <w:rPr>
                <w:sz w:val="20"/>
                <w:szCs w:val="20"/>
                <w:color w:val="auto"/>
              </w:rPr>
            </w:pPr>
            <w:r>
              <w:rPr>
                <w:rFonts w:ascii="Arial" w:cs="Arial" w:eastAsia="Arial" w:hAnsi="Arial"/>
                <w:sz w:val="14"/>
                <w:szCs w:val="14"/>
                <w:color w:val="auto"/>
              </w:rPr>
              <w:t>2.69</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w w:val="91"/>
              </w:rPr>
              <w:t>04/27/2030</w:t>
            </w:r>
          </w:p>
        </w:tc>
      </w:tr>
      <w:tr>
        <w:trPr>
          <w:trHeight w:val="335"/>
        </w:trPr>
        <w:tc>
          <w:tcPr>
            <w:tcW w:w="4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76</w:t>
            </w: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Named Executive Officer Employment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Below are descriptions of the current employment agreements with SAB Biotherapeutics’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Eddie J. Sullivan</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March 1, 2021, OLD SAB entered into an Executive Employment Agreement with Dr. Sullivan to continue to serve as the Company’s President &amp; Chief Executive Officer. The agreement provides Dr. Sullivan an annual base salary of $377,200, and his eligibility to participate in the Company’s benefit plans generally. The agreement also subjects Dr. Sullivan to standard nondisclosure, invention assignment, and arbitration provisions.</w:t>
      </w:r>
    </w:p>
    <w:p>
      <w:pPr>
        <w:spacing w:after="0" w:line="141" w:lineRule="exact"/>
        <w:rPr>
          <w:sz w:val="20"/>
          <w:szCs w:val="20"/>
          <w:color w:val="auto"/>
        </w:rPr>
      </w:pPr>
    </w:p>
    <w:p>
      <w:pPr>
        <w:jc w:val="both"/>
        <w:ind w:firstLine="515"/>
        <w:spacing w:after="0" w:line="283" w:lineRule="auto"/>
        <w:rPr>
          <w:sz w:val="20"/>
          <w:szCs w:val="20"/>
          <w:color w:val="auto"/>
        </w:rPr>
      </w:pPr>
      <w:r>
        <w:rPr>
          <w:rFonts w:ascii="Arial" w:cs="Arial" w:eastAsia="Arial" w:hAnsi="Arial"/>
          <w:sz w:val="13"/>
          <w:szCs w:val="13"/>
          <w:color w:val="auto"/>
        </w:rPr>
        <w:t>If Dr. Sullivan’s employment is terminated by the Company without Cause (as defined in the employment agreement) (other than for death or disability) or the term of his employment is not renewed, Dr. Sullivan will receive (i) a severance payment equal to 1 year of his then base salary, payable either in a lump sum or in accordance with the Company’s then-current payroll</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practices and (ii) the applicable bonus amounts prorated for the portion of the calendar year Dr. Sullivan was employed so long as he was employed by the Company as of April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the year of termination and the Board has approved a bonus plan for that year (such bonus amount payable by the end of the Company’s fiscal year following the termination).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Thomas C. Luke</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March 1, 2021, OLD SAB entered into an Executive Employment Agreement with Dr. Luke to continue to serve as the Company’s Chief Medical Officer. The agreement provides Dr. Luke an annual base salary of $343,950, and his eligibility to participate in the Company’s benefit plans generally. The agreement also subjects Dr. Luke to standard nondisclosure, invention assignment, and arbitration provisions.</w:t>
      </w:r>
    </w:p>
    <w:p>
      <w:pPr>
        <w:spacing w:after="0" w:line="141" w:lineRule="exact"/>
        <w:rPr>
          <w:sz w:val="20"/>
          <w:szCs w:val="20"/>
          <w:color w:val="auto"/>
        </w:rPr>
      </w:pPr>
    </w:p>
    <w:p>
      <w:pPr>
        <w:jc w:val="both"/>
        <w:ind w:firstLine="515"/>
        <w:spacing w:after="0" w:line="283" w:lineRule="auto"/>
        <w:rPr>
          <w:sz w:val="20"/>
          <w:szCs w:val="20"/>
          <w:color w:val="auto"/>
        </w:rPr>
      </w:pPr>
      <w:r>
        <w:rPr>
          <w:rFonts w:ascii="Arial" w:cs="Arial" w:eastAsia="Arial" w:hAnsi="Arial"/>
          <w:sz w:val="13"/>
          <w:szCs w:val="13"/>
          <w:color w:val="auto"/>
        </w:rPr>
        <w:t>If Dr. Luke’s employment is terminated by the Company without Cause (as defined in the employment agreement) (other than for death or disability) or the term of his employment is not renewed, Dr. Luke will receive (i) a severance payment equal to 1 year of his then base salary, payable either in a lump sum or in accordance with the Company’s then-current payroll practices and</w:t>
      </w:r>
    </w:p>
    <w:p>
      <w:pPr>
        <w:spacing w:after="0" w:line="1" w:lineRule="exact"/>
        <w:rPr>
          <w:sz w:val="20"/>
          <w:szCs w:val="20"/>
          <w:color w:val="auto"/>
        </w:rPr>
      </w:pPr>
    </w:p>
    <w:p>
      <w:pPr>
        <w:ind w:firstLine="6"/>
        <w:spacing w:after="0" w:line="211" w:lineRule="auto"/>
        <w:tabs>
          <w:tab w:leader="none" w:pos="21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applicable bonus amounts prorated for the portion of the calendar year Dr. Luke was employed so long as he was employed by the Company as of April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the year of termination and the Board has approved a bonus plan for that year (such bonus amount payable by the end of the Company’s fiscal year following the termination).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Charles H. Randall, Jr.</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March 1, 2021, OLD SAB entered into an Executive Employment Agreement with Mr. Randall to continue to serve as the Company’s Executive Vice President, Chief Strategy Officer. The agreement provides Mr. Randall an annual base salary of $303,300, and his eligibility to participate in the Company’s benefit plans generally. The agreement also subjects Mr. Randall to standard nondisclosure, invention assignment, and arbitration provisions.</w:t>
      </w:r>
    </w:p>
    <w:p>
      <w:pPr>
        <w:spacing w:after="0" w:line="141" w:lineRule="exact"/>
        <w:rPr>
          <w:sz w:val="20"/>
          <w:szCs w:val="20"/>
          <w:color w:val="auto"/>
        </w:rPr>
      </w:pPr>
    </w:p>
    <w:p>
      <w:pPr>
        <w:jc w:val="both"/>
        <w:ind w:firstLine="515"/>
        <w:spacing w:after="0" w:line="283" w:lineRule="auto"/>
        <w:rPr>
          <w:sz w:val="20"/>
          <w:szCs w:val="20"/>
          <w:color w:val="auto"/>
        </w:rPr>
      </w:pPr>
      <w:r>
        <w:rPr>
          <w:rFonts w:ascii="Arial" w:cs="Arial" w:eastAsia="Arial" w:hAnsi="Arial"/>
          <w:sz w:val="13"/>
          <w:szCs w:val="13"/>
          <w:color w:val="auto"/>
        </w:rPr>
        <w:t>If Mr. Randall’s employment is terminated by the Company without Cause (as defined in the employment agreement) (other than for death or disability) or the term of his employment is not renewed, Mr. Randall will receive (i) a severance payment equal to 1 year of his then base salary, payable either in a lump sum or in accordance with the Company’s then-current payroll</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practices and (ii) the applicable bonus amounts prorated for the portion of the calendar year Mr. Randall was employed so long as he was employed by the Company as of April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the year of termination and the Board has approved a bonus plan for that year (such bonus amount payable by the end of the Company’s fiscal year following the termination).</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Russell Beyer</w:t>
      </w:r>
    </w:p>
    <w:p>
      <w:pPr>
        <w:spacing w:after="0" w:line="182" w:lineRule="exact"/>
        <w:rPr>
          <w:sz w:val="20"/>
          <w:szCs w:val="20"/>
          <w:color w:val="auto"/>
        </w:rPr>
      </w:pPr>
    </w:p>
    <w:p>
      <w:pPr>
        <w:jc w:val="both"/>
        <w:ind w:firstLine="515"/>
        <w:spacing w:after="0" w:line="285" w:lineRule="auto"/>
        <w:rPr>
          <w:sz w:val="20"/>
          <w:szCs w:val="20"/>
          <w:color w:val="auto"/>
        </w:rPr>
      </w:pPr>
      <w:r>
        <w:rPr>
          <w:rFonts w:ascii="Arial" w:cs="Arial" w:eastAsia="Arial" w:hAnsi="Arial"/>
          <w:sz w:val="13"/>
          <w:szCs w:val="13"/>
          <w:color w:val="auto"/>
        </w:rPr>
        <w:t>On September 15, 2021, OLD SAB entered into an Executive Employment Agreement with Mr. Russell Beyer (the “CFO Agreement”) to continue to serve as the Company’s Chief Financial Officer. The CFO Agreement provides Mr. Beyer an annual base salary of $300,000 and his eligibility to participate in the Company’s benefit plans generally. Additionally, Mr. Beyer is eligible to receive an annual cash bonus of not less than 35% of his base salary, provided that certain financial performance objectives are met, as set and determined by the Company. The CFO Agreement also subjects Mr. Beyer to standard nondisclosure, invention assignment, and arbitration provisions. In consideration for Mr. Beyer entering into the CFO Agreement, Mr. Beyer will be issued stock options with an amount of underlying common stock representing approximately 0.25% of the outstanding common stock of NEW SAB. The award will vest over four years with 25% vesting on the 1 year anniversary of the grant date and the remaining 75% of the vesting on a monthly basis in thirty-six installments.</w:t>
      </w:r>
    </w:p>
    <w:p>
      <w:pPr>
        <w:spacing w:after="0" w:line="137" w:lineRule="exact"/>
        <w:rPr>
          <w:sz w:val="20"/>
          <w:szCs w:val="20"/>
          <w:color w:val="auto"/>
        </w:rPr>
      </w:pPr>
    </w:p>
    <w:p>
      <w:pPr>
        <w:jc w:val="both"/>
        <w:ind w:firstLine="515"/>
        <w:spacing w:after="0" w:line="283" w:lineRule="auto"/>
        <w:rPr>
          <w:sz w:val="20"/>
          <w:szCs w:val="20"/>
          <w:color w:val="auto"/>
        </w:rPr>
      </w:pPr>
      <w:r>
        <w:rPr>
          <w:rFonts w:ascii="Arial" w:cs="Arial" w:eastAsia="Arial" w:hAnsi="Arial"/>
          <w:sz w:val="13"/>
          <w:szCs w:val="13"/>
          <w:color w:val="auto"/>
        </w:rPr>
        <w:t>If Mr. Beyer’s employment is terminated by the Company without Cause (as defined in the employment agreement) (other than for death or disability) or the term of his employment is not renewed, Mr. Beyer will receive (i) a severance payment equal to 1 year of his then base salary, payable in 12 months installments and (ii) the applicable bonus amounts prorated for the portion of</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4"/>
          <w:szCs w:val="14"/>
          <w:color w:val="auto"/>
        </w:rPr>
        <w:t>the calendar year Mr. Beyer was employed so long as he was employed by the Company as of April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of the year of termination and the Board has approved a bonus plan for that year (such bonus amount payable by the end of the Company’s fiscal year following the termination).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SAB Biotherapeutics 2021 Equity Incentive Plan</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SAB Biotherapeutics 2021 Equity Incentive Plan (the “Incentive Plan”) was adopted in connection with the Business Combination Agreement and became effective upon the Closing.</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the Incentive Plan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The Incentive Plan covers the grant of awards to our employees (including officers), non-employee consultants and non-employee directors and those of our affiliates. For purposes of the Incentive Plan, our affiliates include any corporation, partnership, limited liability company, joint venture or other entity, with respect to which we, directly or indirectly, own either (i) stock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Compensation Committee administers the Incentive Plan. The full Board must approve all decisions regarding awards to non-employee directors.</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Up to a maximum of 11,000,000 shares of our common stock may be delivered in settlement of awards granted under the Incentive Plan initially. The number of shares authorized for issuance will increase beginning in 2022, and occurring each year thereafter through 2031 by 2.0% of the number of our shares of common stock issued and outstanding on a fully-diluted basis as of the last day of the preceding fiscal year (or such lesser number of shares as determined by our board of directors in its sole discretion). In no event, however, shall the aggregate number of shares that may be issued pursuant to this annual increase under the Incentive Plan exceed 5,000,000.</w:t>
      </w:r>
    </w:p>
    <w:p>
      <w:pPr>
        <w:spacing w:after="0" w:line="145"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color w:val="auto"/>
        </w:rPr>
        <w:t>Up to a maximum of 11,000,000 shares of our common stock may be issued under the Incentive Plan pursuant to the exercise of incentive stock options. The stock delivered to settle awards made under the Incentive Plan may be authorized and unissued shares or treasury shares, including shares repurchased by us for purposes of the Incentive Plan. If any shares subject to any award granted under the Incentive Plan (other than a substitute award as described below) is forfeited or otherwise terminated without delivery of such shares (or if such shares are returned to us due to a forfeiture restriction under such award), the shares subject to such awards will again be available for issuance under the Incentive Plan. However, any shares that are withheld or applied as payment for shares issued upon exercise of an award or for the withholding or payment of taxes due upon exercise of an award will continue to be treated as having been delivered under the Incentive Plan and will not again be available for grant under the Incentive Plan. Upon settlement of any stock appreciation rights (“SARs”), the number of shares underlying the portion of the SARs that is exercised will be treated as having been delivered for purposes of determining the maximum number of shares available for grant under the Incentive Plan and shall not again be treated as available for issuance under the Incentive Plan.</w:t>
      </w:r>
    </w:p>
    <w:p>
      <w:pPr>
        <w:spacing w:after="0" w:line="150"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compensation committee determines that an adjustment is appropriate in order to prevent dilution or enlargement of the benefits (or potential benefits) provided to grantees under the Incentive Plan, the compensation committee will make an equitable change or adjustment as it deems appropriate to the number of type of securities with respect to which awards may be granted, (ii) the number and type of securities subject to outstanding awards, (iii) the exercise price with respect to any option or SAR or, if deemed appropriate, make provision for a cash payment to the holder of such outstanding award, and (iv) the number and kind of outstanding restricted shares, or the shares underlying any other form of award.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color w:val="auto"/>
        </w:rPr>
        <w:t>Types of Awards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Incentive Plan permits the granting of any or all of the following types of awards to all grantees:</w:t>
      </w:r>
    </w:p>
    <w:p>
      <w:pPr>
        <w:spacing w:after="0" w:line="182" w:lineRule="exact"/>
        <w:rPr>
          <w:sz w:val="20"/>
          <w:szCs w:val="20"/>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stock options, including incentive stock options, or ISOs;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stock appreciation rights, or SARs;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restricted shares;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deferred stock;</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restricted stock units;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 units and performance shares;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dividend equivalents;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bonus shares; and</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stock-based awards.</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Generally, awards under the Incentive Plan are granted for no consideration other than prior and future services. Awards granted under the Incentive Plan may, in the discretion of the committee, be granted alone or in addition to, in tandem with or in substitution for, any other award under the Incentive Plan; provided, however, that if an SAR is granted in tandem with an ISO, the SAR and ISO must have the same grant date and term and the exercise price of the SAR may not be less than the exercise price of the ISO. The material terms of each award will be set forth in a written award agreement between the grantee and us.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 and SARs</w:t>
      </w:r>
    </w:p>
    <w:p>
      <w:pPr>
        <w:spacing w:after="0" w:line="182" w:lineRule="exact"/>
        <w:rPr>
          <w:sz w:val="20"/>
          <w:szCs w:val="20"/>
          <w:color w:val="auto"/>
        </w:rPr>
      </w:pPr>
    </w:p>
    <w:p>
      <w:pPr>
        <w:jc w:val="both"/>
        <w:ind w:firstLine="515"/>
        <w:spacing w:after="0" w:line="285" w:lineRule="auto"/>
        <w:rPr>
          <w:sz w:val="20"/>
          <w:szCs w:val="20"/>
          <w:color w:val="auto"/>
        </w:rPr>
      </w:pPr>
      <w:r>
        <w:rPr>
          <w:rFonts w:ascii="Arial" w:cs="Arial" w:eastAsia="Arial" w:hAnsi="Arial"/>
          <w:sz w:val="13"/>
          <w:szCs w:val="13"/>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the exercise price may not be less than the fair market value of a share of common stock on the grant date. The term of each option or SAR is determined by the committee and set forth in the applicable award agreement, except that the term may not exceed ten (10) years (or five (5) years if the grantee holds more than 10% of the total combined voting power of all classes of our capital stock).</w:t>
      </w:r>
    </w:p>
    <w:p>
      <w:pPr>
        <w:spacing w:after="0" w:line="137" w:lineRule="exact"/>
        <w:rPr>
          <w:sz w:val="20"/>
          <w:szCs w:val="20"/>
          <w:color w:val="auto"/>
        </w:rPr>
      </w:pPr>
    </w:p>
    <w:p>
      <w:pPr>
        <w:jc w:val="both"/>
        <w:ind w:firstLine="515"/>
        <w:spacing w:after="0" w:line="283" w:lineRule="auto"/>
        <w:rPr>
          <w:sz w:val="20"/>
          <w:szCs w:val="20"/>
          <w:color w:val="auto"/>
        </w:rPr>
      </w:pPr>
      <w:r>
        <w:rPr>
          <w:rFonts w:ascii="Arial" w:cs="Arial" w:eastAsia="Arial" w:hAnsi="Arial"/>
          <w:sz w:val="13"/>
          <w:szCs w:val="13"/>
          <w:color w:val="auto"/>
        </w:rPr>
        <w:t>Options may be exercised by payment of the purchase price through one or more of the following means: payment in cash (including personal check or wire transfer); delivering shares of our common stock previously owned by the grantee; or, with the approval of the compensation committee, (i) delivery of shares of our common stock acquired upon the exercise of such options, or</w:t>
      </w:r>
    </w:p>
    <w:p>
      <w:pPr>
        <w:spacing w:after="0" w:line="1" w:lineRule="exact"/>
        <w:rPr>
          <w:sz w:val="20"/>
          <w:szCs w:val="20"/>
          <w:color w:val="auto"/>
        </w:rPr>
      </w:pPr>
    </w:p>
    <w:p>
      <w:pPr>
        <w:ind w:firstLine="6"/>
        <w:spacing w:after="0" w:line="271" w:lineRule="auto"/>
        <w:tabs>
          <w:tab w:leader="none" w:pos="225"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sale of shares acquired upon exercise of the options through a broker-dealer to whom the grantee has delivered irrevocable notice of exercise and instructions to deliver sales proceeds sufficient to pay us the exercise price.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grant of ISOs is contingent upon shareholder approval of the Incentive Plan within 12 months of its adoption by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Shares</w:t>
      </w:r>
    </w:p>
    <w:p>
      <w:pPr>
        <w:spacing w:after="0" w:line="182"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3"/>
          <w:szCs w:val="13"/>
          <w:color w:val="auto"/>
        </w:rPr>
        <w:t>The committee may award restricted shares consisting of shares of our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us during the restriction period (or, if applicable, upon the failure to satisfy the specified performance objectives during the restriction period), the restricted shares will be forfeited as provided in the applicable award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color w:val="auto"/>
        </w:rPr>
        <w:t>Deferred Stock and Restricted Stock Units</w:t>
      </w:r>
    </w:p>
    <w:p>
      <w:pPr>
        <w:spacing w:after="0" w:line="182"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color w:val="auto"/>
        </w:rPr>
        <w:t>The committee may also grant deferred stock awards and/or restricted stock unit awards. A deferred stock award is the grant of a right to receive a specified number of shares of our common stock at the end of specified deferral periods or upon the occurrence of a specified event, which satisfies the requirements of Section 409A of the Internal Revenue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148"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Restricted stock units and deferred stock awards carry no voting or other rights associated with stock ownership until the shares underlying the award are delivered in settlement of the award. Unless otherwise determined by the compensation committee, grantees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Units</w:t>
      </w:r>
    </w:p>
    <w:p>
      <w:pPr>
        <w:spacing w:after="0" w:line="182"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Shares</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 Shares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committee may grant fully vested shares of our common stock as bonus shares on such terms and conditions as specified in the applicable award agreement.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Equivalents</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committee is authorized to grant dividend equivalents, which provide a grantee the right to receive payment equal to the dividends paid on a specified number of shares of our common stock. Dividend equivalents may be paid directly to grantees or may be deferred for later delivery under the Incentive Plan. If deferred, such dividend equivalents may be credited with interest or may be deemed to be invested in shares of our common stock, other awards under the Incentive Plan or in other property.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Stock-Based Awards</w:t>
      </w:r>
    </w:p>
    <w:p>
      <w:pPr>
        <w:spacing w:after="0" w:line="182"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The Incentive Plan authorizes the committee to grant awards that are valued in whole or in part by reference to or otherwise based on certain other securities. The committee determines the terms and conditions of such awards, including whether awards are paid in shares or cash.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color w:val="auto"/>
        </w:rPr>
        <w:t>Merger, Consolidation or Similar Corporate Transaction</w:t>
      </w:r>
    </w:p>
    <w:p>
      <w:pPr>
        <w:spacing w:after="0" w:line="182"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4"/>
          <w:szCs w:val="14"/>
          <w:color w:val="auto"/>
        </w:rPr>
        <w:t>If there is a merger or consolidation of us with or into another corporation or a sale of substantially all of our stock (a “Corporate Transaction”), and the outstanding awards are not assumed by surviving company (or its parent company) or replaced with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an option or SAR exceeds the fair market value of our common stock and the option or SAR is not assumed or replaced by the surviving company (or its parent company), such options and SARs will be cancelled without any payment to the grantee.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Amendment to and Termination of the Incentive Plan</w:t>
      </w:r>
    </w:p>
    <w:p>
      <w:pPr>
        <w:spacing w:after="0" w:line="182" w:lineRule="exact"/>
        <w:rPr>
          <w:sz w:val="20"/>
          <w:szCs w:val="20"/>
          <w:color w:val="auto"/>
        </w:rPr>
      </w:pPr>
    </w:p>
    <w:p>
      <w:pPr>
        <w:jc w:val="both"/>
        <w:ind w:firstLine="515"/>
        <w:spacing w:after="0" w:line="292" w:lineRule="auto"/>
        <w:rPr>
          <w:sz w:val="20"/>
          <w:szCs w:val="20"/>
          <w:color w:val="auto"/>
        </w:rPr>
      </w:pPr>
      <w:r>
        <w:rPr>
          <w:rFonts w:ascii="Arial" w:cs="Arial" w:eastAsia="Arial" w:hAnsi="Arial"/>
          <w:sz w:val="13"/>
          <w:szCs w:val="13"/>
          <w:color w:val="auto"/>
        </w:rPr>
        <w:t>The Incentive Plan may be amended, altered, suspended, discontinued or terminated by our board of directors without further stockholder approval, unless such approval is required by law or regulation or under the rules of any stock exchange or automated quotation system on which our common stock is then listed or quoted. Thus, stockholder approval will not necessarily be required for amendments which might increase the cost of the Incentive Plan or broaden eligibility. Stockholder approval will not be deemed to be required under laws or regulations that condition favorable treatment of grantees on such approval, although our board of directors may, in its discretion, seek stockholder approval in any circumstance in which it deems such approval advisable.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subject to the terms of the Incentive Plan, no amendment or termination of the Incentive Plan may materially and adversely affect the right of a grantee under any award granted under the Incentive Plan.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Unless earlier terminated by our board of directors, the Incentive Plan will terminate when no shares remain reserved and available for issuance or, if earlier, on the tenth anniversary of the effective date of the Incentive Plan.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 Biotherapeutics 2021 Employee Stock Purchase Plan</w:t>
      </w:r>
    </w:p>
    <w:p>
      <w:pPr>
        <w:spacing w:after="0" w:line="186"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The SAB Biotherapeutics 2021 Employee Stock Purchase Plan, (the “ESPP”) was adopted in connection with the Business Combination Agreement become effective upon the Closing. The ESPP provides eligible employees an opportunity to purchase shares of Common Stock at a discount through accumulated contributions of their earned compensation. The ESPP’s initial share reserve is one million shares of New SAB Biotherapeutics Common Stock. Offering periods will not commence under the ESPP until determined by the Board or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the Employee Stock Purchase Plan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w:t>
      </w:r>
    </w:p>
    <w:p>
      <w:pPr>
        <w:spacing w:after="0" w:line="182"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The ESPP will be administered by the board, or a committee (“Committee”) appointed by the board, which may be the board’s compensation committee. The board or Committee administering the ESPP (“Administrator”) has authority to construe and interpret the ESPP and to establish rules and regulations for the administration of the ESPP.</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w:t>
      </w:r>
    </w:p>
    <w:p>
      <w:pPr>
        <w:spacing w:after="0" w:line="182" w:lineRule="exact"/>
        <w:rPr>
          <w:sz w:val="20"/>
          <w:szCs w:val="20"/>
          <w:color w:val="auto"/>
        </w:rPr>
      </w:pPr>
    </w:p>
    <w:p>
      <w:pPr>
        <w:jc w:val="both"/>
        <w:ind w:firstLine="515"/>
        <w:spacing w:after="0" w:line="260" w:lineRule="auto"/>
        <w:rPr>
          <w:sz w:val="20"/>
          <w:szCs w:val="20"/>
          <w:color w:val="auto"/>
        </w:rPr>
      </w:pPr>
      <w:r>
        <w:rPr>
          <w:rFonts w:ascii="Arial" w:cs="Arial" w:eastAsia="Arial" w:hAnsi="Arial"/>
          <w:sz w:val="14"/>
          <w:szCs w:val="14"/>
          <w:color w:val="auto"/>
        </w:rPr>
        <w:t>Eligible employees of the Company or a participating subsidiary may participate in the ESPP. One is an eligible employee for an accumulation period if he or she is an employee of the Company or a participating subsidiary both on the date determined by the ESPP administrator that enrollment forms must be received for an accumulation period and on the first day of the accumulation period. Notwithstanding the preceding sentences, an employee is not eligible to participate in the ESPP if on the first day of the accumulation period (1) such employee is a member of a collective bargaining unit whose benefits were the subject of good faith bargaining; (2) such employee is customarily employed 20 or less hours per week or five months or less per year; or (3) such employee is an employee of a participating subsidiary who is a resident of a foreign jurisdiction and (i) participation is prohibited under the laws of such foreign jurisdiction or (ii) compliance with the laws of such foreign jurisdiction would violate Section 423 of the Code. An employee is also not eligible to participate if immediately after any purchase of shares under the ESPP, the employee would own capital stock of the Company and/or hold outstanding options to purchase such stock constituting five percent (5%) or more of the total combined voting power or value of all classes of the capital stock of the Company or of any subsidiary of the Company.</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2, 2021, the Company had approximately 131 employees that would be eligible to participate in the ESPP.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color w:val="auto"/>
        </w:rPr>
        <w:t>Shares Available for Issuance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noted above, the maximum aggregate number of shares of Company stock that may be issued under the ESPP is one million shares.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Enrollment Dates, Accumulation Periods and Purchase Dates</w:t>
      </w:r>
    </w:p>
    <w:p>
      <w:pPr>
        <w:spacing w:after="0" w:line="182"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3"/>
          <w:szCs w:val="13"/>
          <w:color w:val="auto"/>
        </w:rPr>
        <w:t>The accumulation periods under the ESPP will generally be a specified one-year period, or such other period, not to exceed twenty-seven (27) months, as determined by the Administrator. The initial accumulation period is expected to commence on or about March 2022. The first trading day of each accumulation period is the enrollment date, which is the date as of which eligible employees are granted contractual rights to purchase shares of Company stock under the ESPP. Payroll deductions may be made during the accumulation period by eligible employees electing to participate as described below. The last trading day of each accumulation period will be the Company stock purchase date (unless the Administrator selects a different date) and on such date any contractual rights remaining outstanding will be deemed to be exercised and shares of Company stock will be purchased,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Participation in the ESPP</w:t>
      </w:r>
    </w:p>
    <w:p>
      <w:pPr>
        <w:spacing w:after="0" w:line="182"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An eligible employee may become a participant in the ESPP by submitting an enrollment form, and payroll deductions for such employee will begin as soon as administratively feasible after such form is received in good order, subject to compliance with such policies, rules and procedures as we may establish in connection therewith.</w:t>
      </w:r>
    </w:p>
    <w:p>
      <w:pPr>
        <w:spacing w:after="0" w:line="131"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As of each purchase date (which is the last trading day of an accumulation period as stated above), an employee’s payroll deductions made during the accumulation period and not withdrawn by the employee or otherwise paid to the employee are used to buy shares of Company stock. The per share purchase price on the purchase date is 85% of the lower of (1) the fair market value of a share of Company stock on the purchase date, or (2) the fair market value of a share of Company stock on the first trading day of the accumulation period.</w:t>
      </w:r>
    </w:p>
    <w:p>
      <w:pPr>
        <w:spacing w:after="0" w:line="124"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An employee will not be permitted to purchase more than 25,000 shares of Company stock on any purchase date, or such lower maximum number as may be determined by the Administrator. An employee’s right to purchase shares under the ESPP in any calendar year cannot exceed $25,000, as measured by the fair market value of such shares (determined for each accumulation period as of the first trading day of the accumulation period).</w:t>
      </w:r>
    </w:p>
    <w:p>
      <w:pPr>
        <w:spacing w:after="0" w:line="141"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An employee can invest any amount from 1% to 15% of his or her base earnings in Company stock through payroll deductions under the ESPP. Payroll deductions are credited to recordkeeping accounts. No earnings are credited to the accounts.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Withdrawal from the ESPP, Cessation of Payroll Deductions, Mandatory Cessation of Participation</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An employee may withdraw from the ESPP in full (but not in part) during any accumulation period by delivering a notice of withdrawal to us (in a manner prescribed by the Administrator) at any time prior to the first day of the last calendar month immediately preceding the purchase date for such accumulation period, or at such shorter time in advance of the purchase date as the Administrator may permit. If notice of withdrawal is timely received, all funds then accumulated in the employee’s account will not be used to purchase shares, but will instead be distributed to the employee as soon as administratively practical, and the employee’s payroll deductions will cease as soon as administratively practical.</w:t>
      </w:r>
    </w:p>
    <w:p>
      <w:pPr>
        <w:spacing w:after="0" w:line="14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An employee also may cease payroll deductions as of the last day of any month during an accumulation period by delivering a notice of cessation to us at the time and in the manner prescribed by the Administrator. Unless the employee also withdraws from the ESPP as described in the preceding paragraph, the employee’s accumulated payroll deductions will be applied to purchase shares of Company stock on the purchase date as described above.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Participation in the ESPP immediately terminates when an employee ceases to be an eligible employee for any reason, including voluntary or involuntary termination of employment.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Upon the termination of an employee’s participation in the ESPP, all accumulated payroll deductions of the employee will be returned to the employee.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color w:val="auto"/>
        </w:rPr>
        <w:t>Amendment and Termination</w:t>
      </w:r>
    </w:p>
    <w:p>
      <w:pPr>
        <w:spacing w:after="0" w:line="182" w:lineRule="exact"/>
        <w:rPr>
          <w:sz w:val="20"/>
          <w:szCs w:val="20"/>
          <w:color w:val="auto"/>
        </w:rPr>
      </w:pPr>
    </w:p>
    <w:p>
      <w:pPr>
        <w:jc w:val="both"/>
        <w:ind w:firstLine="515"/>
        <w:spacing w:after="0" w:line="266" w:lineRule="auto"/>
        <w:rPr>
          <w:sz w:val="20"/>
          <w:szCs w:val="20"/>
          <w:color w:val="auto"/>
        </w:rPr>
      </w:pPr>
      <w:r>
        <w:rPr>
          <w:rFonts w:ascii="Arial" w:cs="Arial" w:eastAsia="Arial" w:hAnsi="Arial"/>
          <w:sz w:val="14"/>
          <w:szCs w:val="14"/>
          <w:color w:val="auto"/>
        </w:rPr>
        <w:t>The Board or the Compensation Committee may amend or alter any provision of the ESPP and may terminate the ESPP at any time. Under certain circumstances, an amendment to the ESPP may require the approval of our stockholders. In addition, if the ESPP is amended to change the aggregate number of shares issuable thereunder or the provisions regarding eligible employees, certain tax advantages under the Code as discussed below (see “Certain Federal Income Tax Consequences Relating to the ESPP”) will only continue if we obtain stockholder approval of such amendment. Certain amendments to the ESPP may be made by the Administrator without stockholder approval.</w:t>
      </w:r>
    </w:p>
    <w:p>
      <w:pPr>
        <w:spacing w:after="0" w:line="145"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3"/>
          <w:szCs w:val="13"/>
          <w:color w:val="auto"/>
        </w:rPr>
        <w:t>In the event of any Company reorganization, recapitalization, stock split, reverse stock split, stock dividend, combination of shares, merger, consolidation, acquisition of property or shares, separation, asset spin-off, stock rights offering, liquidation or other similar change in the capital structure of the Company, the shares subject to an employee’s election to purchase Company stock during an accumulation period will be adjusted and the aggregate number and kind of shares available under the ESPP and the purchase price of shares will also be adjusted, in each case to the extent deemed appropriate by the Administrator. Generally, if a dissolution or liquidation of the Company occurs during an accumulation period, any rights an employee has to acquire Company stock under the ESPP will be terminated, but an employee will have the right to acquire Company stock before the dissolution or liquidation.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Federal Income Tax Consequences Relating to the ESPP</w:t>
      </w:r>
    </w:p>
    <w:p>
      <w:pPr>
        <w:spacing w:after="0" w:line="182"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The following summary of the income tax consequences of the ESPP is based on current provisions of the Code and regulations thereunder. The summary does not address tax rates or state or local income taxes or taxes in jurisdictions other than the United States, nor does it address employment tax.</w:t>
      </w:r>
    </w:p>
    <w:p>
      <w:pPr>
        <w:spacing w:after="0" w:line="131"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i w:val="1"/>
          <w:iCs w:val="1"/>
          <w:color w:val="auto"/>
        </w:rPr>
        <w:t>Enrollment or Purchase of Company Stock under the ESPP</w:t>
      </w:r>
      <w:r>
        <w:rPr>
          <w:rFonts w:ascii="Arial" w:cs="Arial" w:eastAsia="Arial" w:hAnsi="Arial"/>
          <w:sz w:val="14"/>
          <w:szCs w:val="14"/>
          <w:color w:val="auto"/>
        </w:rPr>
        <w:t>. No federal income tax consequences arise at the time of an employee’s enrollment in the ESPP or upon the purchase of</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stock under the ESPP. However, as discussed below, if an employee disposes of Company stock acquired under the ESPP, such employee will have the federal income tax consequences described below in the year such employee disposes of the stock. Amounts withheld by payroll deduction are subject to federal income tax as though those amounts had been paid in cash. Whenever an employee transfers any shares of Company stock in a manner which may constitute a disposition, such employee must promptly advise the Secretary of the Company of the facts concerning that transfer.</w:t>
      </w:r>
    </w:p>
    <w:p>
      <w:pPr>
        <w:spacing w:after="0" w:line="148" w:lineRule="exact"/>
        <w:rPr>
          <w:sz w:val="20"/>
          <w:szCs w:val="20"/>
          <w:color w:val="auto"/>
        </w:rPr>
      </w:pPr>
    </w:p>
    <w:p>
      <w:pPr>
        <w:jc w:val="both"/>
        <w:ind w:firstLine="515"/>
        <w:spacing w:after="0" w:line="284" w:lineRule="auto"/>
        <w:rPr>
          <w:sz w:val="20"/>
          <w:szCs w:val="20"/>
          <w:color w:val="auto"/>
        </w:rPr>
      </w:pPr>
      <w:r>
        <w:rPr>
          <w:rFonts w:ascii="Arial" w:cs="Arial" w:eastAsia="Arial" w:hAnsi="Arial"/>
          <w:sz w:val="13"/>
          <w:szCs w:val="13"/>
          <w:i w:val="1"/>
          <w:iCs w:val="1"/>
          <w:color w:val="auto"/>
        </w:rPr>
        <w:t>Early Dispositions</w:t>
      </w:r>
      <w:r>
        <w:rPr>
          <w:rFonts w:ascii="Arial" w:cs="Arial" w:eastAsia="Arial" w:hAnsi="Arial"/>
          <w:sz w:val="13"/>
          <w:szCs w:val="13"/>
          <w:color w:val="auto"/>
        </w:rPr>
        <w:t>. If an employee disposes of Company stock purchased under the ESPP within two years after the first trading day of an accumulation period or within one year after the</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Company stock are transferred to such employee or to an account in such employee’s name (the “Tax Holding Period”), such employee will recognize compensation income in the year of disposition in an amount equal to the excess of (A) the lesser of the fair market value of the Company stock on the purchase date or the proceeds from the sale or exchange of the shares over (B) the price such employee paid for the Company stock. The Company must report such compensation as taxable ordinary income to the Internal Revenue Service on such employee’s annual Form W-2. The amount, if any, that is taxable as ordinary income is added to the purchase price and becomes part of the cost basis for that Company stock for federal income tax purposes. If the disposition of the Company stock involves a sale or exchange, such employee generally may also realize a short-term capital gain or loss equal to the difference between such employee’s cost basis (calculated pursuant to the preceding sentence) and the proceeds from the sale or exchange of the shares.</w:t>
      </w:r>
    </w:p>
    <w:p>
      <w:pPr>
        <w:spacing w:after="0" w:line="13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i w:val="1"/>
          <w:iCs w:val="1"/>
          <w:color w:val="auto"/>
        </w:rPr>
        <w:t>Later Dispositions</w:t>
      </w:r>
      <w:r>
        <w:rPr>
          <w:rFonts w:ascii="Arial" w:cs="Arial" w:eastAsia="Arial" w:hAnsi="Arial"/>
          <w:sz w:val="14"/>
          <w:szCs w:val="14"/>
          <w:color w:val="auto"/>
        </w:rPr>
        <w:t>. If an employee disposes of Company stock purchased under the ESPP on a date after the Tax Holding Period, or if such employee dies at any time while owning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stock, such employee (or such employee’s estate) will have included in such employee’s compensation as taxable ordinary income in the year of disposition or death, an amount equal to the lesser of</w:t>
      </w:r>
    </w:p>
    <w:p>
      <w:pPr>
        <w:spacing w:after="0" w:line="141" w:lineRule="exact"/>
        <w:rPr>
          <w:sz w:val="20"/>
          <w:szCs w:val="20"/>
          <w:color w:val="auto"/>
        </w:rPr>
      </w:pPr>
    </w:p>
    <w:p>
      <w:pPr>
        <w:ind w:left="1040" w:hanging="519"/>
        <w:spacing w:after="0" w:line="286" w:lineRule="auto"/>
        <w:tabs>
          <w:tab w:leader="none" w:pos="10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excess of the fair market value of the Company stock on the first trading day of the accumulation period over the purchase price paid by such employee (or the employee’s estate) for the shares, or</w:t>
      </w:r>
    </w:p>
    <w:p>
      <w:pPr>
        <w:spacing w:after="0" w:line="131" w:lineRule="exact"/>
        <w:rPr>
          <w:rFonts w:ascii="Arial" w:cs="Arial" w:eastAsia="Arial" w:hAnsi="Arial"/>
          <w:sz w:val="14"/>
          <w:szCs w:val="14"/>
          <w:color w:val="auto"/>
        </w:rPr>
      </w:pPr>
    </w:p>
    <w:p>
      <w:pPr>
        <w:ind w:left="1040" w:hanging="519"/>
        <w:spacing w:after="0"/>
        <w:tabs>
          <w:tab w:leader="none" w:pos="10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excess of the fair market value of the Company stock on the date of disposition or death over the purchase price paid by such employee (or the estate) for the shares.</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amount which is taxable as ordinary income is added to the cost basis of that Company stock for federal income tax purposes. The cost basis is therefore the sum of the purchase price of the Company stock and the ordinary income recognized from the formula above. If the disposition of the Company stock involves a sale or exchange, such employee will also realize a long-term capital gain or loss equal to the difference between such employee’s cost basis (calculated pursuant to the preceding sentence) and the proceeds from the sale or exchange of the shares.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 not entitled to a deduction for amounts taxed as ordinary income or capital gain to an employee except to the extent of ordinary income recognized upon a sale or disposition during the Tax Holding Period (an early disposition).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The following includes a summary of transactions since January 1, 2018 to which the Company or OLD SAB has been a party, in which the amount involved in the transaction exceeded $120,000, and in which any of its directors, executive officers or, to its knowledge, beneficial owners of more than 5% of its capital stock or any member of the immediate family of any of the foregoing persons had or will have a direct or indirect material interest, other than equity and other compensation, termination, change in control and other arrangements, which are described under “</w:t>
      </w:r>
      <w:r>
        <w:rPr>
          <w:rFonts w:ascii="Arial" w:cs="Arial" w:eastAsia="Arial" w:hAnsi="Arial"/>
          <w:sz w:val="14"/>
          <w:szCs w:val="14"/>
          <w:i w:val="1"/>
          <w:iCs w:val="1"/>
          <w:color w:val="auto"/>
        </w:rPr>
        <w:t>Executive Compensation</w:t>
      </w:r>
      <w:r>
        <w:rPr>
          <w:rFonts w:ascii="Arial" w:cs="Arial" w:eastAsia="Arial" w:hAnsi="Arial"/>
          <w:sz w:val="14"/>
          <w:szCs w:val="14"/>
          <w:color w:val="auto"/>
        </w:rPr>
        <w:t>.” Upon the Closing, agreements of OLD SAB were assumed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Relationships and Related Party Transactions - Company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Registration Rights Agreement</w:t>
      </w:r>
    </w:p>
    <w:p>
      <w:pPr>
        <w:spacing w:after="0" w:line="182"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In connection with the completion of the Business Combination the Company, certain stockholders of OLD SAB, the Sponsor and Ladenburg entered into an amended and restated registration rights agreement, pursuant to which, among other things, certain holders of OLD SAB common stock and preferred stock (i) agreed not to effect any sale or distribution of NEW SAB Common Stock held by any of them during the specified lock-up period of 180 days after the Closing Date and (ii) were granted certain registration rights with respect to their NEW SAB shares.</w:t>
      </w:r>
    </w:p>
    <w:p>
      <w:pPr>
        <w:spacing w:after="0" w:line="124"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foregoing description of the amended and restated registration rights agreement does not purport to be complete and is qualified in its entirety by the text of the amended and restated registration rights agreement, the form of which is filed as Exhibit 10.1 to this prospectus and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 Support Agreement</w:t>
      </w:r>
    </w:p>
    <w:p>
      <w:pPr>
        <w:spacing w:after="0" w:line="182" w:lineRule="exact"/>
        <w:rPr>
          <w:sz w:val="20"/>
          <w:szCs w:val="20"/>
          <w:color w:val="auto"/>
        </w:rPr>
      </w:pPr>
    </w:p>
    <w:p>
      <w:pPr>
        <w:jc w:val="both"/>
        <w:ind w:firstLine="258"/>
        <w:spacing w:after="0" w:line="280" w:lineRule="auto"/>
        <w:rPr>
          <w:sz w:val="20"/>
          <w:szCs w:val="20"/>
          <w:color w:val="auto"/>
        </w:rPr>
      </w:pPr>
      <w:r>
        <w:rPr>
          <w:rFonts w:ascii="Arial" w:cs="Arial" w:eastAsia="Arial" w:hAnsi="Arial"/>
          <w:sz w:val="13"/>
          <w:szCs w:val="13"/>
          <w:color w:val="auto"/>
        </w:rPr>
        <w:t>Concurrently with the execution of the Business Combination Agreement, the Initial Stockholders (including the Sponsor), BCYP and OLD SAB entered into the Sponsor Support Agreement, pursuant to which the Sponsor agreed to, among other things, (i) vote in favor of the Business Combination Agreement and the transactions contemplated thereby (including the Business Combination); (ii) vote against any Company Acquisition Proposal (as defined in the Business Combination Agreement) and certain other matters as set forth in the Sponsor Support Agreement;</w:t>
      </w:r>
    </w:p>
    <w:p>
      <w:pPr>
        <w:spacing w:after="0" w:line="2" w:lineRule="exact"/>
        <w:rPr>
          <w:sz w:val="20"/>
          <w:szCs w:val="20"/>
          <w:color w:val="auto"/>
        </w:rPr>
      </w:pPr>
    </w:p>
    <w:p>
      <w:pPr>
        <w:jc w:val="both"/>
        <w:ind w:firstLine="6"/>
        <w:spacing w:after="0" w:line="261" w:lineRule="auto"/>
        <w:tabs>
          <w:tab w:leader="none" w:pos="251" w:val="left"/>
        </w:tabs>
        <w:numPr>
          <w:ilvl w:val="0"/>
          <w:numId w:val="47"/>
        </w:numPr>
        <w:rPr>
          <w:rFonts w:ascii="Arial" w:cs="Arial" w:eastAsia="Arial" w:hAnsi="Arial"/>
          <w:sz w:val="14"/>
          <w:szCs w:val="14"/>
          <w:color w:val="auto"/>
        </w:rPr>
      </w:pPr>
      <w:r>
        <w:rPr>
          <w:rFonts w:ascii="Arial" w:cs="Arial" w:eastAsia="Arial" w:hAnsi="Arial"/>
          <w:sz w:val="14"/>
          <w:szCs w:val="14"/>
          <w:color w:val="auto"/>
        </w:rPr>
        <w:t>waive any adjustment to the conversion ratio set forth in the governing documents of BCYP or any other anti-dilution or similar protection with respect to the common stock of BCYP (whether resulting from the transactions contemplated by the Subscription Agreements or otherwise); (iv) be bound by certain transfer restrictions with respect to its shares in BCYP prior to the closing of the Business Combination; (v) certain forfeiture provisions with respect to up to 598,580 of the shares owned by them (the “Restricted Shares”) during a period of up to five years from the Closing (the “Vesting Period”) as follows:</w:t>
      </w:r>
    </w:p>
    <w:p>
      <w:pPr>
        <w:spacing w:after="0" w:line="148" w:lineRule="exact"/>
        <w:rPr>
          <w:rFonts w:ascii="Arial" w:cs="Arial" w:eastAsia="Arial" w:hAnsi="Arial"/>
          <w:sz w:val="14"/>
          <w:szCs w:val="14"/>
          <w:color w:val="auto"/>
        </w:rPr>
      </w:pPr>
    </w:p>
    <w:p>
      <w:pPr>
        <w:ind w:left="520" w:hanging="257"/>
        <w:spacing w:after="0" w:line="286" w:lineRule="auto"/>
        <w:tabs>
          <w:tab w:leader="none" w:pos="5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149,645 of the Restricted Shares will become fully vested and unrestricted if, within the Vesting Period, the volume weighted share price of the Company’s Common Stock equals or exceeds $15.00 during at least 20 trading days within a 30-day trading period;</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149,645 of the Restricted Shares will become fully vested and unrestricted if, within the Vesting Period, the volume weighted share price of the Company’s Common Stock equals or exceeds $20.00 during at least 20 trading days within a 30-day trading period;</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149,645 of the Restricted Shares will become fully vested and unrestricted if, within the Vesting Period, the volume weighted share price of the Company’s Common Stock equals or exceeds $25.00 during at least 20 trading days within a 30-day trading period; and</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1"/>
          <w:numId w:val="47"/>
        </w:numPr>
        <w:rPr>
          <w:rFonts w:ascii="Arial" w:cs="Arial" w:eastAsia="Arial" w:hAnsi="Arial"/>
          <w:sz w:val="14"/>
          <w:szCs w:val="14"/>
          <w:color w:val="auto"/>
        </w:rPr>
      </w:pPr>
      <w:r>
        <w:rPr>
          <w:rFonts w:ascii="Arial" w:cs="Arial" w:eastAsia="Arial" w:hAnsi="Arial"/>
          <w:sz w:val="14"/>
          <w:szCs w:val="14"/>
          <w:color w:val="auto"/>
        </w:rPr>
        <w:t>149,645 of the Restricted Shares will become fully vested and unrestricted if, within the Vesting Period, the volume weighted share price of the Company’s Common Stock equals or exceeds $30.00 during at least 20 trading days within a 30-day trading period;</w:t>
      </w:r>
    </w:p>
    <w:p>
      <w:pPr>
        <w:spacing w:after="0" w:line="131"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Each tranche of Restricted Shares will also become fully vested and unrestricted in the event of a change in control of the Company during the Vesting Period that results in the holders of the Company’s Common Stock receiving a per-share aggregate consideration equal to or in excess of the applicable tranche of Restricted Shares.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182" w:lineRule="exact"/>
        <w:rPr>
          <w:sz w:val="20"/>
          <w:szCs w:val="20"/>
          <w:color w:val="auto"/>
        </w:rPr>
      </w:pPr>
    </w:p>
    <w:p>
      <w:pPr>
        <w:jc w:val="both"/>
        <w:ind w:firstLine="515"/>
        <w:spacing w:after="0" w:line="263" w:lineRule="auto"/>
        <w:rPr>
          <w:sz w:val="20"/>
          <w:szCs w:val="20"/>
          <w:color w:val="auto"/>
        </w:rPr>
      </w:pPr>
      <w:r>
        <w:rPr>
          <w:rFonts w:ascii="Arial" w:cs="Arial" w:eastAsia="Arial" w:hAnsi="Arial"/>
          <w:sz w:val="14"/>
          <w:szCs w:val="14"/>
          <w:color w:val="auto"/>
        </w:rPr>
        <w:t>In connection with the Business Combination, the Company entered into indemnification agreements with its directors and executive officers as of the Closing Date. Each indemnification agreement provides for indemnification and advancements by the Company of certain expenses and costs relating to claims, suits or proceedings arising from each individual’s service to the Company or, at our request, service to other entities as an officer or director, as applicable, to the maximum extent permitted by applicable law. The foregoing description of the indemnification agreements does not purport to be complete and is qualified in its entirety by the terms and conditions of the indemnification agreements, the form of which is filed as Exhibit 10.6 to this registration statement and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Relationships and Related Party Transactions - BCYP</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Founder Shares</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November 12, 2020, BCYP issued 2,156,250 shares of common stock to the Sponsor for $25,000 in cash, or approximately $0.012 per share, in connection with formation. On December 7, 2020, the Sponsor forfeited 161,719 founder shares to BCYP and Ladenburg and certain of its employees, purchased from BCYP an aggregate of 161,719 representative shares at an average purchase price of approximately $0.012 per share, for an aggregate purchase price of $1,875.</w:t>
      </w:r>
    </w:p>
    <w:p>
      <w:pPr>
        <w:spacing w:after="0" w:line="141"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January 3, 2021, BCYP effected a stock dividend of 1/3 of a share of common stock for every share of common stock outstanding, resulting in an aggregate of 2,875,000 founder shares outstanding (including up to 375,000 shares subject to forfeiture to the extent that the underwriters’ over-allotment was not exercised in full or in part). As a result of the underwriters’ election to fully exercise their over-allotment option on January 14, 2021, the 375,000 shares were no longer subject to forfeiture.</w:t>
      </w:r>
    </w:p>
    <w:p>
      <w:pPr>
        <w:spacing w:after="0" w:line="141" w:lineRule="exact"/>
        <w:rPr>
          <w:sz w:val="20"/>
          <w:szCs w:val="20"/>
          <w:color w:val="auto"/>
        </w:rPr>
      </w:pPr>
    </w:p>
    <w:p>
      <w:pPr>
        <w:jc w:val="both"/>
        <w:ind w:firstLine="515"/>
        <w:spacing w:after="0" w:line="286" w:lineRule="auto"/>
        <w:rPr>
          <w:sz w:val="20"/>
          <w:szCs w:val="20"/>
          <w:color w:val="auto"/>
        </w:rPr>
      </w:pPr>
      <w:r>
        <w:rPr>
          <w:rFonts w:ascii="Arial" w:cs="Arial" w:eastAsia="Arial" w:hAnsi="Arial"/>
          <w:sz w:val="14"/>
          <w:szCs w:val="14"/>
          <w:color w:val="auto"/>
        </w:rPr>
        <w:t>As discussed further below, on January 4, 2021, the Sponsor forfeited 28,750 founder shares to BCYP and Ladenburg and certain of its employees purchased from BCYP an aggregate of 28,750 representative shares at an average purchase price of approximately $0.008 per share, for an aggregate purchase price of $230.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Placement</w:t>
      </w:r>
    </w:p>
    <w:p>
      <w:pPr>
        <w:spacing w:after="0" w:line="182" w:lineRule="exact"/>
        <w:rPr>
          <w:sz w:val="20"/>
          <w:szCs w:val="20"/>
          <w:color w:val="auto"/>
        </w:rPr>
      </w:pPr>
    </w:p>
    <w:p>
      <w:pPr>
        <w:jc w:val="both"/>
        <w:ind w:firstLine="515"/>
        <w:spacing w:after="0" w:line="326" w:lineRule="auto"/>
        <w:rPr>
          <w:sz w:val="20"/>
          <w:szCs w:val="20"/>
          <w:color w:val="auto"/>
        </w:rPr>
      </w:pPr>
      <w:r>
        <w:rPr>
          <w:rFonts w:ascii="Arial" w:cs="Arial" w:eastAsia="Arial" w:hAnsi="Arial"/>
          <w:sz w:val="13"/>
          <w:szCs w:val="13"/>
          <w:color w:val="auto"/>
        </w:rPr>
        <w:t>Simultaneously with the closing of the BCYP IPO, the Sponsor purchased an aggregate of 417,200 Placement Units, at a price of $10.00 per Placement Unit, for an aggregate purchase price of $4,172,000, in a private placement. A portion of the proceeds from the private placement was added to the proceeds from the BCYP IPO held in the Trust.</w:t>
      </w:r>
    </w:p>
    <w:p>
      <w:pPr>
        <w:spacing w:after="0" w:line="109" w:lineRule="exact"/>
        <w:rPr>
          <w:sz w:val="20"/>
          <w:szCs w:val="20"/>
          <w:color w:val="auto"/>
        </w:rPr>
      </w:pPr>
    </w:p>
    <w:p>
      <w:pPr>
        <w:jc w:val="both"/>
        <w:ind w:firstLine="515"/>
        <w:spacing w:after="0" w:line="301" w:lineRule="auto"/>
        <w:rPr>
          <w:sz w:val="20"/>
          <w:szCs w:val="20"/>
          <w:color w:val="auto"/>
        </w:rPr>
      </w:pPr>
      <w:r>
        <w:rPr>
          <w:rFonts w:ascii="Arial" w:cs="Arial" w:eastAsia="Arial" w:hAnsi="Arial"/>
          <w:sz w:val="13"/>
          <w:szCs w:val="13"/>
          <w:color w:val="auto"/>
        </w:rPr>
        <w:t>Each Placement Unit was identical to the units sold in the BCYP IPO, except for the placement warrants (“Placement Warrants”). The Placement Warrants and the BCYP common stock issuable upon the exercise of the Placement Warrants are not be transferable, assignable or saleable until after the completion of a Business Combination, subject to certain limited exceptions. Additionally, the Placement Warrants are exercisable on a cashless basis and are non-redeemable so long as they are held by the initial purchasers or their permitted transferees.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Representative Shares</w:t>
      </w:r>
    </w:p>
    <w:p>
      <w:pPr>
        <w:spacing w:after="0" w:line="182" w:lineRule="exact"/>
        <w:rPr>
          <w:sz w:val="20"/>
          <w:szCs w:val="20"/>
          <w:color w:val="auto"/>
        </w:rPr>
      </w:pPr>
    </w:p>
    <w:p>
      <w:pPr>
        <w:jc w:val="both"/>
        <w:ind w:firstLine="515"/>
        <w:spacing w:after="0" w:line="262" w:lineRule="auto"/>
        <w:rPr>
          <w:sz w:val="20"/>
          <w:szCs w:val="20"/>
          <w:color w:val="auto"/>
        </w:rPr>
      </w:pPr>
      <w:r>
        <w:rPr>
          <w:rFonts w:ascii="Arial" w:cs="Arial" w:eastAsia="Arial" w:hAnsi="Arial"/>
          <w:sz w:val="14"/>
          <w:szCs w:val="14"/>
          <w:color w:val="auto"/>
        </w:rPr>
        <w:t>On December 7, 2020, the Sponsor forfeited 161,719 founder shares to BCYP and Ladenburg and certain of its employees purchased from BCYP an aggregate of 161,719 representative shares at an average purchase price of approximately $0.012 per share, for an aggregate purchase price of $1,875. On January 4, 2021, the Sponsor forfeited 28,750 founder shares to BCYP and Ladenburg and certain of its employees purchased from BCYP an aggregate of 28,750 representative shares at an average purchase price of approximately $0.008 per share, for an aggregate purchase price of $230. Following the 1/3 common stock dividend effected January 3, 2021 (as described herein), Ladenburg and certain of its employees now hold an aggregate of 244,375 shares of Common Stock (of which up to 31,875 were subject to forfeiture). As a result of the underwriters’ election to fully exercise of their over-allotment option, the 31,875 shares are no longer subject to forfeiture.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i w:val="1"/>
          <w:iCs w:val="1"/>
          <w:color w:val="auto"/>
        </w:rPr>
        <w:t>Promissory Note</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On November 19, 2020, BCYP issued an unsecured promissory note to the Sponsor for an aggregate of up to $250,000 to cover expenses related to the BCYP IPO. This loan was non-interest bearing and payable on the earlier of March 31, 2021 or the completion of the BCYP IPO. As of December 31, 2020, BCYP had drawn down $150,000 under the promissory note. On January 14, 2021, BCYP paid the $150,000 balance on the note from a portion of the proceeds of the BCYP IPO.</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Administrative Services</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BCYP agreed to pay an affiliate of the Sponsor a monthly fee of an aggregate of $10,000 for office space, utilities and secretarial and administrative support. Upon completion of the Business Combination, the Company ceased paying these monthly fees. For the three and nine months ended September 30, 2021, BCYP has recorded $30,000 and $90,000 in service fee expense, respectively, within operating costs in the accompanying condensed financial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Policies and Procedures for Transactions with Related Parties</w:t>
      </w:r>
    </w:p>
    <w:p>
      <w:pPr>
        <w:spacing w:after="0" w:line="182"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Company has adopted a written Related Party Transaction Policy that set forth its procedures for the identification, review, consideration and approval or ratification of related person transactions. A related person includes directors, executive officers, beneficial owners of 5% or more of any class of the Company’s voting securities, immediate family members of any of the foregoing persons, and any entities in which any of the foregoing is an executive officer or is an owner of 5% or more ownership interest.</w:t>
      </w:r>
    </w:p>
    <w:p>
      <w:pPr>
        <w:spacing w:after="0" w:line="141"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Under the Related Party Transaction Policy, if a transaction involving an amount in excess of $120,000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Company’s audit committee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considering related person transactions, the Company’s audit committee will take into account the relevant available facts and circumstances including, but not limited to:</w:t>
      </w:r>
    </w:p>
    <w:p>
      <w:pPr>
        <w:spacing w:after="0" w:line="182" w:lineRule="exact"/>
        <w:rPr>
          <w:sz w:val="20"/>
          <w:szCs w:val="20"/>
          <w:color w:val="auto"/>
        </w:rPr>
      </w:pPr>
    </w:p>
    <w:p>
      <w:pPr>
        <w:ind w:left="520" w:hanging="257"/>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related person’s interest in the related person transaction;</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approximate dollar value of the amount involved in the related person transaction;</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approximate dollar value of the amount of the related person’s interest in the transaction without regard to the amount of any profit or loss;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the transaction was undertaken in the ordinary course of business of the Company;</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whether the transaction with the related person is proposed to be, or was, entered into on terms no less favorable to the Company than terms that could have been reached with an unrelated third party;</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purpose of, and the potential benefits to the Company of, the transaction; and</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1"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the best interests of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PRINCIPAL SECURITYHOLDERS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regarding the beneficial ownership of our Common Stock as of November 1. 2021, by:</w:t>
      </w:r>
    </w:p>
    <w:p>
      <w:pPr>
        <w:spacing w:after="0" w:line="182" w:lineRule="exact"/>
        <w:rPr>
          <w:sz w:val="20"/>
          <w:szCs w:val="20"/>
          <w:color w:val="auto"/>
        </w:rPr>
      </w:pPr>
    </w:p>
    <w:p>
      <w:pPr>
        <w:ind w:left="1040" w:hanging="262"/>
        <w:spacing w:after="0"/>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each person known to be the beneficial owner of more than 5% of our outstanding Common Stock;</w:t>
      </w:r>
    </w:p>
    <w:p>
      <w:pPr>
        <w:spacing w:after="0" w:line="182" w:lineRule="exact"/>
        <w:rPr>
          <w:rFonts w:ascii="Arial" w:cs="Arial" w:eastAsia="Arial" w:hAnsi="Arial"/>
          <w:sz w:val="14"/>
          <w:szCs w:val="14"/>
          <w:color w:val="auto"/>
        </w:rPr>
      </w:pPr>
    </w:p>
    <w:p>
      <w:pPr>
        <w:ind w:left="1040" w:hanging="262"/>
        <w:spacing w:after="0"/>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each of our executive officers and directors; and</w:t>
      </w:r>
    </w:p>
    <w:p>
      <w:pPr>
        <w:spacing w:after="0" w:line="182" w:lineRule="exact"/>
        <w:rPr>
          <w:rFonts w:ascii="Arial" w:cs="Arial" w:eastAsia="Arial" w:hAnsi="Arial"/>
          <w:sz w:val="14"/>
          <w:szCs w:val="14"/>
          <w:color w:val="auto"/>
        </w:rPr>
      </w:pPr>
    </w:p>
    <w:p>
      <w:pPr>
        <w:ind w:left="1040" w:hanging="262"/>
        <w:spacing w:after="0"/>
        <w:tabs>
          <w:tab w:leader="none" w:pos="10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 following the consummation of the Transactions.</w:t>
      </w:r>
    </w:p>
    <w:p>
      <w:pPr>
        <w:spacing w:after="0" w:line="182"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3"/>
          <w:szCs w:val="13"/>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Shares subject to options that are currently exercisable or exercisable within 60 days of the Closing Date are considered outstanding and beneficially owned by the person holding such options for the purpose of computing the percentage ownership of that person but are not treated as outstanding for the purpose of computing the percentage ownership of any other person. Unless otherwise indicated, the Company believes that the persons and entities named in the table below have sole voting and investment power with respect to all shares shown as beneficially owned by them. Unless otherwise noted, the business address of each of the directors and executive officers of the Company is 2100 East 54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North, Sioux Falls, SD 57104.</w:t>
      </w:r>
    </w:p>
    <w:p>
      <w:pPr>
        <w:spacing w:after="0" w:line="3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4"/>
          <w:szCs w:val="14"/>
          <w:color w:val="auto"/>
        </w:rPr>
        <w:t>The percentage of beneficial ownership of the Company is calculated based on 43,474,779 shares of Common Stock outstanding and do not take into account: (i) the issuance of shares upon exercise of warrants to purchase 5,958,600 shares of Common Stock currently outstanding and (ii) the exercise of options to purchase 3,730,504 shares of Common Stock currently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2"/>
          </w:tcPr>
          <w:p>
            <w:pPr>
              <w:jc w:val="right"/>
              <w:ind w:right="600"/>
              <w:spacing w:after="0"/>
              <w:rPr>
                <w:sz w:val="20"/>
                <w:szCs w:val="20"/>
                <w:color w:val="auto"/>
              </w:rPr>
            </w:pPr>
            <w:r>
              <w:rPr>
                <w:rFonts w:ascii="Arial" w:cs="Arial" w:eastAsia="Arial" w:hAnsi="Arial"/>
                <w:sz w:val="14"/>
                <w:szCs w:val="14"/>
                <w:color w:val="auto"/>
              </w:rPr>
              <w:t>Number of Shares Beneficially</w:t>
            </w:r>
          </w:p>
        </w:tc>
        <w:tc>
          <w:tcPr>
            <w:tcW w:w="2260" w:type="dxa"/>
            <w:vAlign w:val="bottom"/>
            <w:gridSpan w:val="2"/>
          </w:tcPr>
          <w:p>
            <w:pPr>
              <w:jc w:val="right"/>
              <w:ind w:right="820"/>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84"/>
        </w:trPr>
        <w:tc>
          <w:tcPr>
            <w:tcW w:w="6480" w:type="dxa"/>
            <w:vAlign w:val="bottom"/>
            <w:gridSpan w:val="3"/>
          </w:tcPr>
          <w:p>
            <w:pPr>
              <w:spacing w:after="0"/>
              <w:rPr>
                <w:sz w:val="20"/>
                <w:szCs w:val="20"/>
                <w:color w:val="auto"/>
              </w:rPr>
            </w:pPr>
            <w:r>
              <w:rPr>
                <w:rFonts w:ascii="Arial" w:cs="Arial" w:eastAsia="Arial" w:hAnsi="Arial"/>
                <w:sz w:val="14"/>
                <w:szCs w:val="14"/>
                <w:color w:val="auto"/>
              </w:rPr>
              <w:t>Beneficial Owner</w:t>
            </w:r>
          </w:p>
        </w:tc>
        <w:tc>
          <w:tcPr>
            <w:tcW w:w="2540" w:type="dxa"/>
            <w:vAlign w:val="bottom"/>
            <w:gridSpan w:val="2"/>
          </w:tcPr>
          <w:p>
            <w:pPr>
              <w:jc w:val="right"/>
              <w:ind w:right="1280"/>
              <w:spacing w:after="0"/>
              <w:rPr>
                <w:sz w:val="20"/>
                <w:szCs w:val="20"/>
                <w:color w:val="auto"/>
              </w:rPr>
            </w:pPr>
            <w:r>
              <w:rPr>
                <w:rFonts w:ascii="Arial" w:cs="Arial" w:eastAsia="Arial" w:hAnsi="Arial"/>
                <w:sz w:val="14"/>
                <w:szCs w:val="14"/>
                <w:color w:val="auto"/>
              </w:rPr>
              <w:t>Owned</w:t>
            </w:r>
          </w:p>
        </w:tc>
        <w:tc>
          <w:tcPr>
            <w:tcW w:w="226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Common Stock Beneficially Owned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Five Percent Stockholders</w:t>
            </w:r>
          </w:p>
        </w:tc>
        <w:tc>
          <w:tcPr>
            <w:tcW w:w="22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Big Cypress Holdings LLC</w:t>
            </w:r>
          </w:p>
        </w:tc>
        <w:tc>
          <w:tcPr>
            <w:tcW w:w="2540" w:type="dxa"/>
            <w:vAlign w:val="bottom"/>
            <w:gridSpan w:val="2"/>
          </w:tcPr>
          <w:p>
            <w:pPr>
              <w:jc w:val="right"/>
              <w:ind w:right="280"/>
              <w:spacing w:after="0"/>
              <w:rPr>
                <w:sz w:val="20"/>
                <w:szCs w:val="20"/>
                <w:color w:val="auto"/>
              </w:rPr>
            </w:pPr>
            <w:r>
              <w:rPr>
                <w:rFonts w:ascii="Arial" w:cs="Arial" w:eastAsia="Arial" w:hAnsi="Arial"/>
                <w:sz w:val="14"/>
                <w:szCs w:val="14"/>
                <w:color w:val="auto"/>
              </w:rPr>
              <w:t>3,047,825</w:t>
            </w:r>
            <w:r>
              <w:rPr>
                <w:rFonts w:ascii="Arial" w:cs="Arial" w:eastAsia="Arial" w:hAnsi="Arial"/>
                <w:sz w:val="11"/>
                <w:szCs w:val="11"/>
                <w:color w:val="auto"/>
              </w:rPr>
              <w:t>(1)</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Executive Officers and Directors</w:t>
            </w: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Samuel J. Reich</w:t>
            </w: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3,048,825</w:t>
            </w:r>
            <w:r>
              <w:rPr>
                <w:rFonts w:ascii="Arial" w:cs="Arial" w:eastAsia="Arial" w:hAnsi="Arial"/>
                <w:sz w:val="11"/>
                <w:szCs w:val="11"/>
                <w:color w:val="auto"/>
              </w:rPr>
              <w:t>(2)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Christine Hamilton, MBA</w:t>
            </w:r>
          </w:p>
        </w:tc>
        <w:tc>
          <w:tcPr>
            <w:tcW w:w="2540" w:type="dxa"/>
            <w:vAlign w:val="bottom"/>
            <w:gridSpan w:val="2"/>
          </w:tcPr>
          <w:p>
            <w:pPr>
              <w:jc w:val="right"/>
              <w:ind w:right="280"/>
              <w:spacing w:after="0"/>
              <w:rPr>
                <w:sz w:val="20"/>
                <w:szCs w:val="20"/>
                <w:color w:val="auto"/>
              </w:rPr>
            </w:pPr>
            <w:r>
              <w:rPr>
                <w:rFonts w:ascii="Arial" w:cs="Arial" w:eastAsia="Arial" w:hAnsi="Arial"/>
                <w:sz w:val="14"/>
                <w:szCs w:val="14"/>
                <w:color w:val="auto"/>
              </w:rPr>
              <w:t>10,685,978</w:t>
            </w:r>
            <w:r>
              <w:rPr>
                <w:rFonts w:ascii="Arial" w:cs="Arial" w:eastAsia="Arial" w:hAnsi="Arial"/>
                <w:sz w:val="11"/>
                <w:szCs w:val="11"/>
                <w:color w:val="auto"/>
              </w:rPr>
              <w:t>(3)</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Eddie J. Sullivan, PhD</w:t>
            </w: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5,705,113</w:t>
            </w:r>
            <w:r>
              <w:rPr>
                <w:rFonts w:ascii="Arial" w:cs="Arial" w:eastAsia="Arial" w:hAnsi="Arial"/>
                <w:sz w:val="11"/>
                <w:szCs w:val="11"/>
                <w:color w:val="auto"/>
              </w:rPr>
              <w:t>(4)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Mervyn Turner, PhD</w:t>
            </w:r>
          </w:p>
        </w:tc>
        <w:tc>
          <w:tcPr>
            <w:tcW w:w="2540" w:type="dxa"/>
            <w:vAlign w:val="bottom"/>
            <w:gridSpan w:val="2"/>
          </w:tcPr>
          <w:p>
            <w:pPr>
              <w:jc w:val="right"/>
              <w:ind w:right="280"/>
              <w:spacing w:after="0"/>
              <w:rPr>
                <w:sz w:val="20"/>
                <w:szCs w:val="20"/>
                <w:color w:val="auto"/>
              </w:rPr>
            </w:pPr>
            <w:r>
              <w:rPr>
                <w:rFonts w:ascii="Arial" w:cs="Arial" w:eastAsia="Arial" w:hAnsi="Arial"/>
                <w:sz w:val="14"/>
                <w:szCs w:val="14"/>
                <w:color w:val="auto"/>
              </w:rPr>
              <w:t>23,264</w:t>
            </w:r>
            <w:r>
              <w:rPr>
                <w:rFonts w:ascii="Arial" w:cs="Arial" w:eastAsia="Arial" w:hAnsi="Arial"/>
                <w:sz w:val="11"/>
                <w:szCs w:val="11"/>
                <w:color w:val="auto"/>
              </w:rPr>
              <w:t>(5)</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Jeffrey G. Spragens</w:t>
            </w: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13,000</w:t>
            </w:r>
            <w:r>
              <w:rPr>
                <w:rFonts w:ascii="Arial" w:cs="Arial" w:eastAsia="Arial" w:hAnsi="Arial"/>
                <w:sz w:val="11"/>
                <w:szCs w:val="11"/>
                <w:color w:val="auto"/>
              </w:rPr>
              <w:t>(6)</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William Polvino, MD</w:t>
            </w:r>
          </w:p>
        </w:tc>
        <w:tc>
          <w:tcPr>
            <w:tcW w:w="2540" w:type="dxa"/>
            <w:vAlign w:val="bottom"/>
            <w:gridSpan w:val="2"/>
          </w:tcPr>
          <w:p>
            <w:pPr>
              <w:jc w:val="right"/>
              <w:ind w:right="280"/>
              <w:spacing w:after="0"/>
              <w:rPr>
                <w:sz w:val="20"/>
                <w:szCs w:val="20"/>
                <w:color w:val="auto"/>
              </w:rPr>
            </w:pPr>
            <w:r>
              <w:rPr>
                <w:rFonts w:ascii="Arial" w:cs="Arial" w:eastAsia="Arial" w:hAnsi="Arial"/>
                <w:sz w:val="14"/>
                <w:szCs w:val="14"/>
                <w:color w:val="auto"/>
              </w:rPr>
              <w:t>29,080</w:t>
            </w:r>
            <w:r>
              <w:rPr>
                <w:rFonts w:ascii="Arial" w:cs="Arial" w:eastAsia="Arial" w:hAnsi="Arial"/>
                <w:sz w:val="11"/>
                <w:szCs w:val="11"/>
                <w:color w:val="auto"/>
              </w:rPr>
              <w:t>(7)</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David Link</w:t>
            </w: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70,568</w:t>
            </w:r>
            <w:r>
              <w:rPr>
                <w:rFonts w:ascii="Arial" w:cs="Arial" w:eastAsia="Arial" w:hAnsi="Arial"/>
                <w:sz w:val="11"/>
                <w:szCs w:val="11"/>
                <w:color w:val="auto"/>
              </w:rPr>
              <w:t>(8)</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Charles H. Randall, Jr., MBA</w:t>
            </w:r>
          </w:p>
        </w:tc>
        <w:tc>
          <w:tcPr>
            <w:tcW w:w="2540" w:type="dxa"/>
            <w:vAlign w:val="bottom"/>
            <w:gridSpan w:val="2"/>
          </w:tcPr>
          <w:p>
            <w:pPr>
              <w:jc w:val="right"/>
              <w:ind w:right="280"/>
              <w:spacing w:after="0"/>
              <w:rPr>
                <w:sz w:val="20"/>
                <w:szCs w:val="20"/>
                <w:color w:val="auto"/>
              </w:rPr>
            </w:pPr>
            <w:r>
              <w:rPr>
                <w:rFonts w:ascii="Arial" w:cs="Arial" w:eastAsia="Arial" w:hAnsi="Arial"/>
                <w:sz w:val="14"/>
                <w:szCs w:val="14"/>
                <w:color w:val="auto"/>
              </w:rPr>
              <w:t>360,595</w:t>
            </w:r>
            <w:r>
              <w:rPr>
                <w:rFonts w:ascii="Arial" w:cs="Arial" w:eastAsia="Arial" w:hAnsi="Arial"/>
                <w:sz w:val="11"/>
                <w:szCs w:val="11"/>
                <w:color w:val="auto"/>
              </w:rPr>
              <w:t>(9)</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Thomas Luke, MD</w:t>
            </w:r>
          </w:p>
        </w:tc>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157,635</w:t>
            </w:r>
            <w:r>
              <w:rPr>
                <w:rFonts w:ascii="Arial" w:cs="Arial" w:eastAsia="Arial" w:hAnsi="Arial"/>
                <w:sz w:val="11"/>
                <w:szCs w:val="11"/>
                <w:color w:val="auto"/>
              </w:rPr>
              <w:t>(10)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60" w:type="dxa"/>
            <w:vAlign w:val="bottom"/>
            <w:gridSpan w:val="2"/>
          </w:tcPr>
          <w:p>
            <w:pPr>
              <w:ind w:left="120"/>
              <w:spacing w:after="0"/>
              <w:rPr>
                <w:sz w:val="20"/>
                <w:szCs w:val="20"/>
                <w:color w:val="auto"/>
              </w:rPr>
            </w:pPr>
            <w:r>
              <w:rPr>
                <w:rFonts w:ascii="Arial" w:cs="Arial" w:eastAsia="Arial" w:hAnsi="Arial"/>
                <w:sz w:val="14"/>
                <w:szCs w:val="14"/>
                <w:color w:val="auto"/>
              </w:rPr>
              <w:t>Russell Beyer</w:t>
            </w:r>
          </w:p>
        </w:tc>
        <w:tc>
          <w:tcPr>
            <w:tcW w:w="2540" w:type="dxa"/>
            <w:vAlign w:val="bottom"/>
            <w:gridSpan w:val="2"/>
          </w:tcPr>
          <w:p>
            <w:pPr>
              <w:jc w:val="right"/>
              <w:ind w:right="220"/>
              <w:spacing w:after="0"/>
              <w:rPr>
                <w:sz w:val="20"/>
                <w:szCs w:val="20"/>
                <w:color w:val="auto"/>
              </w:rPr>
            </w:pPr>
            <w:r>
              <w:rPr>
                <w:rFonts w:ascii="Arial" w:cs="Arial" w:eastAsia="Arial" w:hAnsi="Arial"/>
                <w:sz w:val="14"/>
                <w:szCs w:val="14"/>
                <w:color w:val="auto"/>
              </w:rPr>
              <w:t>2,490</w:t>
            </w:r>
            <w:r>
              <w:rPr>
                <w:rFonts w:ascii="Arial" w:cs="Arial" w:eastAsia="Arial" w:hAnsi="Arial"/>
                <w:sz w:val="11"/>
                <w:szCs w:val="11"/>
                <w:color w:val="auto"/>
              </w:rPr>
              <w:t>(11)</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All current executive officers and directors as a group (10 persons)</w:t>
            </w:r>
          </w:p>
        </w:tc>
        <w:tc>
          <w:tcPr>
            <w:tcW w:w="2540" w:type="dxa"/>
            <w:vAlign w:val="bottom"/>
            <w:gridSpan w:val="2"/>
          </w:tcPr>
          <w:p>
            <w:pPr>
              <w:jc w:val="right"/>
              <w:ind w:right="420"/>
              <w:spacing w:after="0"/>
              <w:rPr>
                <w:sz w:val="20"/>
                <w:szCs w:val="20"/>
                <w:color w:val="auto"/>
              </w:rPr>
            </w:pPr>
            <w:r>
              <w:rPr>
                <w:rFonts w:ascii="Arial" w:cs="Arial" w:eastAsia="Arial" w:hAnsi="Arial"/>
                <w:sz w:val="14"/>
                <w:szCs w:val="14"/>
                <w:color w:val="auto"/>
              </w:rPr>
              <w:t>20,096,548</w:t>
            </w:r>
          </w:p>
        </w:tc>
        <w:tc>
          <w:tcPr>
            <w:tcW w:w="2260" w:type="dxa"/>
            <w:vAlign w:val="bottom"/>
            <w:gridSpan w:val="2"/>
          </w:tcPr>
          <w:p>
            <w:pPr>
              <w:jc w:val="right"/>
              <w:spacing w:after="0"/>
              <w:rPr>
                <w:sz w:val="20"/>
                <w:szCs w:val="20"/>
                <w:color w:val="auto"/>
              </w:rPr>
            </w:pPr>
            <w:r>
              <w:rPr>
                <w:rFonts w:ascii="Arial" w:cs="Arial" w:eastAsia="Arial" w:hAnsi="Arial"/>
                <w:sz w:val="14"/>
                <w:szCs w:val="14"/>
                <w:color w:val="auto"/>
              </w:rPr>
              <w:t>46.23%</w:t>
            </w:r>
          </w:p>
        </w:tc>
        <w:tc>
          <w:tcPr>
            <w:tcW w:w="0" w:type="dxa"/>
            <w:vAlign w:val="bottom"/>
          </w:tcPr>
          <w:p>
            <w:pPr>
              <w:spacing w:after="0"/>
              <w:rPr>
                <w:sz w:val="1"/>
                <w:szCs w:val="1"/>
                <w:color w:val="auto"/>
              </w:rPr>
            </w:pPr>
          </w:p>
        </w:tc>
      </w:tr>
      <w:tr>
        <w:trPr>
          <w:trHeight w:val="333"/>
        </w:trPr>
        <w:tc>
          <w:tcPr>
            <w:tcW w:w="6480" w:type="dxa"/>
            <w:vAlign w:val="bottom"/>
            <w:gridSpan w:val="3"/>
          </w:tcPr>
          <w:p>
            <w:pPr>
              <w:spacing w:after="0"/>
              <w:rPr>
                <w:sz w:val="20"/>
                <w:szCs w:val="20"/>
                <w:color w:val="auto"/>
              </w:rPr>
            </w:pPr>
            <w:r>
              <w:rPr>
                <w:rFonts w:ascii="Arial" w:cs="Arial" w:eastAsia="Arial" w:hAnsi="Arial"/>
                <w:sz w:val="14"/>
                <w:szCs w:val="14"/>
                <w:color w:val="auto"/>
              </w:rPr>
              <w:t>*Less than 1%</w:t>
            </w: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6"/>
        <w:spacing w:after="0" w:line="262" w:lineRule="auto"/>
        <w:tabs>
          <w:tab w:leader="none" w:pos="203"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Consists of 3,047,825 shares of Common Stock held directly by the Sponsor, which includes 598,580 shares of Common Stock that are subject to vesting during a period of up to five years after October 22, 2021, which is the closing date of the Company’s business combination. The vesting of such shares is contingent on achievement of certain stock price milestones. Excludes 208,600 warrants to purchase Common Stock because the warrants are not exercisable within 60 days from the date hereof. Each of Messrs. Samuel J. Reich and Ilan Katz is a manager of the Sponsor. Consequently, each may be deemed the beneficial owner of the shares held by the Sponsor and have voting and dispositive control over such securities. Each disclaims beneficial ownership of any shares other than to the extent he may have a pecuniary interest therein, directly or indirectly. Does not include 1,5000 shares of Common Stock held directly by Mr. Katz. The address of Big Cypress Holdings LLC is 300 W. 41st Street, Suite 202 Miami Beach, FL 33140.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4" w:name="page95"/>
    <w:bookmarkEnd w:id="94"/>
    <w:p>
      <w:pPr>
        <w:jc w:val="both"/>
        <w:ind w:firstLine="6"/>
        <w:spacing w:after="0" w:line="271" w:lineRule="auto"/>
        <w:tabs>
          <w:tab w:leader="none" w:pos="203"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(i) 1,000 shares of Common Stock held directly by Mr. Reich and (ii) 3,047,825 shares of Common Stock beneficially owned by the Sponsor. Mr. Reich is a manager of the Sponsor. Consequently, he may be deemed the beneficial owner of the shares held by the Sponsor and have voting and dispositive control over such securities. Mr. Reich disclaims beneficial ownership of any shares other than to the extent he may have a pecuniary interest therein, directly or indirectly(see footnote 1).</w:t>
      </w:r>
    </w:p>
    <w:p>
      <w:pPr>
        <w:spacing w:after="0" w:line="141" w:lineRule="exact"/>
        <w:rPr>
          <w:rFonts w:ascii="Arial" w:cs="Arial" w:eastAsia="Arial" w:hAnsi="Arial"/>
          <w:sz w:val="14"/>
          <w:szCs w:val="14"/>
          <w:color w:val="auto"/>
        </w:rPr>
      </w:pPr>
    </w:p>
    <w:p>
      <w:pPr>
        <w:jc w:val="both"/>
        <w:ind w:firstLine="6"/>
        <w:spacing w:after="0" w:line="284" w:lineRule="auto"/>
        <w:tabs>
          <w:tab w:leader="none" w:pos="221"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Consists of (i) 5,074,351 shares of Common Stock held directly by Mrs. Hamilton, (ii) 25,000 shares of Common Stock held by Christensen Investments, LLC, (iii) 5,003,084 shares of Common Stock held by Mrs. Hamilton’s spouse, (iv) 118,259 shares issuable to Mrs. Hamilton pursuant to options exercisable within 60 days of October 28, 2021, and (v) 465,284 shares issuable to Mrs. Hamilton’s spouse pursuant to options exercisable within 60 days of October 28, 2021. Excludes (i) 2,039,938 shares issued into escrow for her benefit, the release from which is subject to achievement of certain stock price milestones (while such shares are held in escrow, Mrs. Hamilton has neither voting power nor dispositive power over the escrowed shares), (ii) 2,009,697 shares issued into escrow for her spouse’s benefit, the release from which is subject to achievement of certain stock price milestones, (iii) 47,777 restricted stock units that become vested upon achievement of certain stock price milestones, and (iv) 187,975 restricted stock units held by her spouse that become vested upon achievement of certain stock price milestones. Mrs. Hamilton disclaims any beneficial ownership of the reported securities other than to the extent of any pecuniary interests she may have therein.</w:t>
      </w:r>
    </w:p>
    <w:p>
      <w:pPr>
        <w:spacing w:after="0" w:line="135" w:lineRule="exact"/>
        <w:rPr>
          <w:rFonts w:ascii="Arial" w:cs="Arial" w:eastAsia="Arial" w:hAnsi="Arial"/>
          <w:sz w:val="13"/>
          <w:szCs w:val="13"/>
          <w:color w:val="auto"/>
        </w:rPr>
      </w:pPr>
    </w:p>
    <w:p>
      <w:pPr>
        <w:jc w:val="both"/>
        <w:ind w:firstLine="6"/>
        <w:spacing w:after="0" w:line="301" w:lineRule="auto"/>
        <w:tabs>
          <w:tab w:leader="none" w:pos="209"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Consists of (i) 5,216,564 shares of Common Stock held directly by Mr. Sullivan and (ii) 488,549 shares issuable to Mr. Sullivan pursuant to options exercisable within 60 days of October 28, 2021. Excludes (i) 2,106,361 shares issued into escrow for his benefit, the release from which is subject to achievement of certain stock price milestones (while such shares are held in escrow, Mr. Sullivan has neither voting power nor dispositive power over the escrowed shares), and (ii) 197,374 restricted stock units that become vested upon achievement of certain stock price milestones.</w:t>
      </w:r>
    </w:p>
    <w:p>
      <w:pPr>
        <w:spacing w:after="0" w:line="124" w:lineRule="exact"/>
        <w:rPr>
          <w:rFonts w:ascii="Arial" w:cs="Arial" w:eastAsia="Arial" w:hAnsi="Arial"/>
          <w:sz w:val="13"/>
          <w:szCs w:val="13"/>
          <w:color w:val="auto"/>
        </w:rPr>
      </w:pPr>
    </w:p>
    <w:p>
      <w:pPr>
        <w:ind w:firstLine="6"/>
        <w:spacing w:after="0" w:line="286" w:lineRule="auto"/>
        <w:tabs>
          <w:tab w:leader="none" w:pos="204"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23,264 shares of Common Stock issuable to Mr. Turner pursuant to options exercisable within 60 days of October 28, 2021. Excludes 9,399 restricted stock units that become vested upon achievement of certain stock price milestones.</w:t>
      </w:r>
    </w:p>
    <w:p>
      <w:pPr>
        <w:spacing w:after="0" w:line="131" w:lineRule="exact"/>
        <w:rPr>
          <w:rFonts w:ascii="Arial" w:cs="Arial" w:eastAsia="Arial" w:hAnsi="Arial"/>
          <w:sz w:val="14"/>
          <w:szCs w:val="14"/>
          <w:color w:val="auto"/>
        </w:rPr>
      </w:pPr>
    </w:p>
    <w:p>
      <w:pPr>
        <w:ind w:left="200" w:hanging="194"/>
        <w:spacing w:after="0"/>
        <w:tabs>
          <w:tab w:leader="none" w:pos="2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13,000 shares of Common Stock held directly by Mr. Spragens.</w:t>
      </w:r>
    </w:p>
    <w:p>
      <w:pPr>
        <w:spacing w:after="0" w:line="182" w:lineRule="exact"/>
        <w:rPr>
          <w:rFonts w:ascii="Arial" w:cs="Arial" w:eastAsia="Arial" w:hAnsi="Arial"/>
          <w:sz w:val="14"/>
          <w:szCs w:val="14"/>
          <w:color w:val="auto"/>
        </w:rPr>
      </w:pPr>
    </w:p>
    <w:p>
      <w:pPr>
        <w:ind w:firstLine="6"/>
        <w:spacing w:after="0" w:line="286" w:lineRule="auto"/>
        <w:tabs>
          <w:tab w:leader="none" w:pos="213"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29,080 shares of Common Stock issuable to Mr. Polvino pursuant to options exercisable within 60 days of October 28, 2021. Excludes 11,748 restricted stock units that become vested upon achievement of certain stock price milestones.</w:t>
      </w:r>
    </w:p>
    <w:p>
      <w:pPr>
        <w:spacing w:after="0" w:line="131" w:lineRule="exact"/>
        <w:rPr>
          <w:rFonts w:ascii="Arial" w:cs="Arial" w:eastAsia="Arial" w:hAnsi="Arial"/>
          <w:sz w:val="14"/>
          <w:szCs w:val="14"/>
          <w:color w:val="auto"/>
        </w:rPr>
      </w:pPr>
    </w:p>
    <w:p>
      <w:pPr>
        <w:jc w:val="both"/>
        <w:ind w:firstLine="6"/>
        <w:spacing w:after="0" w:line="288" w:lineRule="auto"/>
        <w:tabs>
          <w:tab w:leader="none" w:pos="203"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Consists of (i) 15,820 shares of Common Stock held directly by Mr. Link, (ii) 12,097 shares of Common Stock held by Iron Horse Investments, LLC, and (iii) 42,651 shares issuable to Mr. Link pursuant to options exercisable within 60 days of October 28, 2021. Excludes (i) 6,391shares issued into escrow for his benefit, the release from which is subject to achievement of certain stock price milestones (while such shares are held in escrow, Mr. Link has neither voting power nor dispositive power over the escrowed shares), (ii) 4,887 issued into escrow for the benefit of Iron Horse Investments, LLC, the release from which is subject to achievement of certain stock price milestones and (iii) 17,231 restricted stock units that become vested upon achievement of certain stock price milestones. Mr. Link disclaims any beneficial ownership of the reported securities other than to the extent of any pecuniary interests he may have therein.</w:t>
      </w:r>
    </w:p>
    <w:p>
      <w:pPr>
        <w:spacing w:after="0" w:line="133" w:lineRule="exact"/>
        <w:rPr>
          <w:rFonts w:ascii="Arial" w:cs="Arial" w:eastAsia="Arial" w:hAnsi="Arial"/>
          <w:sz w:val="13"/>
          <w:szCs w:val="13"/>
          <w:color w:val="auto"/>
        </w:rPr>
      </w:pPr>
    </w:p>
    <w:p>
      <w:pPr>
        <w:ind w:firstLine="6"/>
        <w:spacing w:after="0" w:line="286" w:lineRule="auto"/>
        <w:tabs>
          <w:tab w:leader="none" w:pos="208"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360,595 shares of Common Stock issuable to Mr. Randall pursuant to options exercisable within 60 days of October 28, 2021. Excludes 145,681 restricted stock units that become vested upon achievement of certain stock price milestones.</w:t>
      </w:r>
    </w:p>
    <w:p>
      <w:pPr>
        <w:spacing w:after="0" w:line="131" w:lineRule="exact"/>
        <w:rPr>
          <w:rFonts w:ascii="Arial" w:cs="Arial" w:eastAsia="Arial" w:hAnsi="Arial"/>
          <w:sz w:val="14"/>
          <w:szCs w:val="14"/>
          <w:color w:val="auto"/>
        </w:rPr>
      </w:pPr>
    </w:p>
    <w:p>
      <w:pPr>
        <w:jc w:val="both"/>
        <w:ind w:firstLine="6"/>
        <w:spacing w:after="0" w:line="301" w:lineRule="auto"/>
        <w:tabs>
          <w:tab w:leader="none" w:pos="286" w:val="left"/>
        </w:tabs>
        <w:numPr>
          <w:ilvl w:val="0"/>
          <w:numId w:val="51"/>
        </w:numPr>
        <w:rPr>
          <w:rFonts w:ascii="Arial" w:cs="Arial" w:eastAsia="Arial" w:hAnsi="Arial"/>
          <w:sz w:val="13"/>
          <w:szCs w:val="13"/>
          <w:color w:val="auto"/>
        </w:rPr>
      </w:pPr>
      <w:r>
        <w:rPr>
          <w:rFonts w:ascii="Arial" w:cs="Arial" w:eastAsia="Arial" w:hAnsi="Arial"/>
          <w:sz w:val="13"/>
          <w:szCs w:val="13"/>
          <w:color w:val="auto"/>
        </w:rPr>
        <w:t>Consists of (i) 6,418 shares of Common Stock held directly by Mr. Luke and (ii) 151,217 shares issuable to Mr. Luke pursuant to options exercisable within 60 days of October 28, 2021. Excludes (i) 2,193 shares issued into escrow for his benefit, the release from which is subject to achievement of certain stock price milestones (while such shares are held in escrow, Mr. Luke has neither voting power nor dispositive power over the escrowed shares), and (ii) 61,092 restricted stock units that become vested upon achievement of certain stock price milestones.</w:t>
      </w:r>
    </w:p>
    <w:p>
      <w:pPr>
        <w:spacing w:after="0" w:line="124" w:lineRule="exact"/>
        <w:rPr>
          <w:rFonts w:ascii="Arial" w:cs="Arial" w:eastAsia="Arial" w:hAnsi="Arial"/>
          <w:sz w:val="13"/>
          <w:szCs w:val="13"/>
          <w:color w:val="auto"/>
        </w:rPr>
      </w:pPr>
    </w:p>
    <w:p>
      <w:pPr>
        <w:ind w:left="280" w:hanging="274"/>
        <w:spacing w:after="0"/>
        <w:tabs>
          <w:tab w:leader="none" w:pos="2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Consists of (i) 2,475 shares of Common Stock held directly by Mr. Beyer and (ii) 15 shares of Common Stock held by Mr. Beyer’s daughter.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SELLING SECURITYHOLDERS</w:t>
      </w:r>
    </w:p>
    <w:p>
      <w:pPr>
        <w:spacing w:after="0" w:line="186"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This prospectus relates to the resale by the selling securityholders from time to time of up to 20,392,901 shares of Common Stock, including: 5,958,600 shares of Common Stock that may be issued upon exercise of the Warrants (consisting of 5,750,000 shares that may be issued upon exercise of the Public Warrants and 208,600 shares that may be issued upon exercise of the Private Warrants), 3,047,825 shares of Common Stock held by the Sponsor, 244,373 shares held by Ladenburg and certain of its employees, 247,525 shares held by Chardan and certain of its employees and designees and 10,685,978 shares held by certain parties to the Amended and Restated Registration Rights Agreement. As used in this prospectus, the term “selling securityholders” includes the persons listed in the table below, together with any additional selling securityholders listed in a subsequent amendment to this prospectus, and their pledgees, donees, transferees, assignees, successors, designees and others who later come to hold any of the selling securityholders’ interests in the Common Stock or Private Placement Warrants other than through a public sale.</w:t>
      </w:r>
    </w:p>
    <w:p>
      <w:pPr>
        <w:spacing w:after="0" w:line="137"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Except as set forth in the footnotes below, the following table sets forth, based on written representations from the selling securityholders, certain information as of November 1, 2021 regarding the beneficial ownership of our Common Stock and Warrants by the selling securityholders and the shares of Common Stock and Warrants being offered by the selling securityholders. The applicable percentage ownership of Common Stock is based on 43,474,779 shares of Common Stock outstanding as of November 1, 2021. The selling securityholders may offer and sell some, all or none of their shares of Common Stock.</w:t>
      </w:r>
    </w:p>
    <w:p>
      <w:pPr>
        <w:spacing w:after="0" w:line="145"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Common Stock and Warrants that they beneficially own, subject to applicable community property laws. Except as otherwise described below, based on the information provided to us by the selling securityholders, no selling securityholder is a broker-dealer or an affiliate of a broker dealer.</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Up to 5,750,000 shares Common Stock issuable upon exercise of the Public Warrants are not included in the table below.</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Please see the section titled “</w:t>
      </w:r>
      <w:r>
        <w:rPr>
          <w:rFonts w:ascii="Arial" w:cs="Arial" w:eastAsia="Arial" w:hAnsi="Arial"/>
          <w:sz w:val="14"/>
          <w:szCs w:val="14"/>
          <w:i w:val="1"/>
          <w:iCs w:val="1"/>
          <w:color w:val="auto"/>
        </w:rPr>
        <w:t>Plan of Distribution</w:t>
      </w:r>
      <w:r>
        <w:rPr>
          <w:rFonts w:ascii="Arial" w:cs="Arial" w:eastAsia="Arial" w:hAnsi="Arial"/>
          <w:sz w:val="14"/>
          <w:szCs w:val="14"/>
          <w:color w:val="auto"/>
        </w:rPr>
        <w:t>” for further information regarding the selling securityholder’s method of distributing these shares.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gridSpan w:val="9"/>
          </w:tcPr>
          <w:p>
            <w:pPr>
              <w:ind w:left="20"/>
              <w:spacing w:after="0"/>
              <w:rPr>
                <w:sz w:val="20"/>
                <w:szCs w:val="20"/>
                <w:color w:val="auto"/>
              </w:rPr>
            </w:pPr>
            <w:r>
              <w:rPr>
                <w:rFonts w:ascii="Arial" w:cs="Arial" w:eastAsia="Arial" w:hAnsi="Arial"/>
                <w:sz w:val="14"/>
                <w:szCs w:val="14"/>
                <w:b w:val="1"/>
                <w:bCs w:val="1"/>
                <w:color w:val="auto"/>
              </w:rPr>
              <w:t>RESALE S-1 SELLING SECURITYHOLDER TABLE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2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4"/>
          </w:tcPr>
          <w:p>
            <w:pPr>
              <w:ind w:left="20"/>
              <w:spacing w:after="0"/>
              <w:rPr>
                <w:sz w:val="20"/>
                <w:szCs w:val="20"/>
                <w:color w:val="auto"/>
              </w:rPr>
            </w:pPr>
            <w:r>
              <w:rPr>
                <w:rFonts w:ascii="Arial" w:cs="Arial" w:eastAsia="Arial" w:hAnsi="Arial"/>
                <w:sz w:val="14"/>
                <w:szCs w:val="14"/>
                <w:b w:val="1"/>
                <w:bCs w:val="1"/>
                <w:color w:val="auto"/>
              </w:rPr>
              <w:t>Shares of Common Stock</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8"/>
          </w:tcPr>
          <w:p>
            <w:pPr>
              <w:ind w:left="540"/>
              <w:spacing w:after="0"/>
              <w:rPr>
                <w:sz w:val="20"/>
                <w:szCs w:val="20"/>
                <w:color w:val="auto"/>
              </w:rPr>
            </w:pPr>
            <w:r>
              <w:rPr>
                <w:rFonts w:ascii="Arial" w:cs="Arial" w:eastAsia="Arial" w:hAnsi="Arial"/>
                <w:sz w:val="14"/>
                <w:szCs w:val="14"/>
                <w:b w:val="1"/>
                <w:bCs w:val="1"/>
                <w:color w:val="auto"/>
              </w:rPr>
              <w:t>Warrants to Purchase Common Stock</w:t>
            </w:r>
          </w:p>
        </w:tc>
      </w:tr>
      <w:tr>
        <w:trPr>
          <w:trHeight w:val="157"/>
        </w:trPr>
        <w:tc>
          <w:tcPr>
            <w:tcW w:w="2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Number</w:t>
            </w: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Number</w:t>
            </w: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2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Percent</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r>
      <w:tr>
        <w:trPr>
          <w:trHeight w:val="172"/>
        </w:trPr>
        <w:tc>
          <w:tcPr>
            <w:tcW w:w="2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Registered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Registered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r>
      <w:tr>
        <w:trPr>
          <w:trHeight w:val="172"/>
        </w:trPr>
        <w:tc>
          <w:tcPr>
            <w:tcW w:w="2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Prior</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After</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After</w:t>
            </w: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Prior to</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Sale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After</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After</w:t>
            </w:r>
          </w:p>
        </w:tc>
      </w:tr>
      <w:tr>
        <w:trPr>
          <w:trHeight w:val="18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Securityholder</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to Offering</w:t>
            </w:r>
          </w:p>
        </w:tc>
        <w:tc>
          <w:tcPr>
            <w:tcW w:w="2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Sale Hereby</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Hereby</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r>
      <w:tr>
        <w:trPr>
          <w:trHeight w:val="22"/>
        </w:trPr>
        <w:tc>
          <w:tcPr>
            <w:tcW w:w="28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Big Cypress Holdings LLC</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3,047,825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3,047,825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208,600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208,600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tcPr>
          <w:p>
            <w:pPr>
              <w:spacing w:after="0" w:line="203" w:lineRule="exact"/>
              <w:rPr>
                <w:sz w:val="20"/>
                <w:szCs w:val="20"/>
                <w:color w:val="auto"/>
              </w:rPr>
            </w:pPr>
            <w:r>
              <w:rPr>
                <w:rFonts w:ascii="Arial" w:cs="Arial" w:eastAsia="Arial" w:hAnsi="Arial"/>
                <w:sz w:val="14"/>
                <w:szCs w:val="14"/>
                <w:color w:val="auto"/>
              </w:rPr>
              <w:t xml:space="preserve">Christine Hamilton </w:t>
            </w:r>
            <w:r>
              <w:rPr>
                <w:rFonts w:ascii="Arial" w:cs="Arial" w:eastAsia="Arial" w:hAnsi="Arial"/>
                <w:sz w:val="23"/>
                <w:szCs w:val="23"/>
                <w:color w:val="auto"/>
                <w:vertAlign w:val="superscript"/>
              </w:rPr>
              <w:t>(2)</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10,685,978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10,685,978</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 xml:space="preserve">Chardan Capital Markets LLC </w:t>
            </w:r>
            <w:r>
              <w:rPr>
                <w:rFonts w:ascii="Arial" w:cs="Arial" w:eastAsia="Arial" w:hAnsi="Arial"/>
                <w:sz w:val="23"/>
                <w:szCs w:val="23"/>
                <w:color w:val="auto"/>
                <w:vertAlign w:val="superscript"/>
              </w:rPr>
              <w:t>(3)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223,525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223,525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tcPr>
          <w:p>
            <w:pPr>
              <w:spacing w:after="0" w:line="203" w:lineRule="exact"/>
              <w:rPr>
                <w:sz w:val="20"/>
                <w:szCs w:val="20"/>
                <w:color w:val="auto"/>
              </w:rPr>
            </w:pPr>
            <w:r>
              <w:rPr>
                <w:rFonts w:ascii="Arial" w:cs="Arial" w:eastAsia="Arial" w:hAnsi="Arial"/>
                <w:sz w:val="14"/>
                <w:szCs w:val="14"/>
                <w:color w:val="auto"/>
              </w:rPr>
              <w:t>Daniel Roth</w:t>
            </w:r>
            <w:r>
              <w:rPr>
                <w:rFonts w:ascii="Arial" w:cs="Arial" w:eastAsia="Arial" w:hAnsi="Arial"/>
                <w:sz w:val="23"/>
                <w:szCs w:val="23"/>
                <w:color w:val="auto"/>
                <w:vertAlign w:val="superscript"/>
              </w:rPr>
              <w:t>(4)</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24,000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24,000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 xml:space="preserve">Ladenburg Thalmann &amp; Co. Inc. </w:t>
            </w:r>
            <w:r>
              <w:rPr>
                <w:rFonts w:ascii="Arial" w:cs="Arial" w:eastAsia="Arial" w:hAnsi="Arial"/>
                <w:sz w:val="23"/>
                <w:szCs w:val="23"/>
                <w:color w:val="auto"/>
                <w:vertAlign w:val="superscript"/>
              </w:rPr>
              <w:t>(5)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122,188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122,188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tcPr>
          <w:p>
            <w:pPr>
              <w:spacing w:after="0" w:line="203" w:lineRule="exact"/>
              <w:rPr>
                <w:sz w:val="20"/>
                <w:szCs w:val="20"/>
                <w:color w:val="auto"/>
              </w:rPr>
            </w:pPr>
            <w:r>
              <w:rPr>
                <w:rFonts w:ascii="Arial" w:cs="Arial" w:eastAsia="Arial" w:hAnsi="Arial"/>
                <w:sz w:val="14"/>
                <w:szCs w:val="14"/>
                <w:color w:val="auto"/>
              </w:rPr>
              <w:t>Jeff Caliva</w:t>
            </w:r>
            <w:r>
              <w:rPr>
                <w:rFonts w:ascii="Arial" w:cs="Arial" w:eastAsia="Arial" w:hAnsi="Arial"/>
                <w:sz w:val="23"/>
                <w:szCs w:val="23"/>
                <w:color w:val="auto"/>
                <w:vertAlign w:val="superscript"/>
              </w:rPr>
              <w:t>(6)</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24,209</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24,209</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Steven Kaplan</w:t>
            </w:r>
            <w:r>
              <w:rPr>
                <w:rFonts w:ascii="Arial" w:cs="Arial" w:eastAsia="Arial" w:hAnsi="Arial"/>
                <w:sz w:val="23"/>
                <w:szCs w:val="23"/>
                <w:color w:val="auto"/>
                <w:vertAlign w:val="superscript"/>
              </w:rPr>
              <w:t>(7)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48,988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48,988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04"/>
        </w:trPr>
        <w:tc>
          <w:tcPr>
            <w:tcW w:w="3940" w:type="dxa"/>
            <w:vAlign w:val="bottom"/>
            <w:gridSpan w:val="2"/>
          </w:tcPr>
          <w:p>
            <w:pPr>
              <w:spacing w:after="0" w:line="203" w:lineRule="exact"/>
              <w:rPr>
                <w:sz w:val="20"/>
                <w:szCs w:val="20"/>
                <w:color w:val="auto"/>
              </w:rPr>
            </w:pPr>
            <w:r>
              <w:rPr>
                <w:rFonts w:ascii="Arial" w:cs="Arial" w:eastAsia="Arial" w:hAnsi="Arial"/>
                <w:sz w:val="14"/>
                <w:szCs w:val="14"/>
                <w:color w:val="auto"/>
              </w:rPr>
              <w:t>Peter Blum</w:t>
            </w:r>
            <w:r>
              <w:rPr>
                <w:rFonts w:ascii="Arial" w:cs="Arial" w:eastAsia="Arial" w:hAnsi="Arial"/>
                <w:sz w:val="23"/>
                <w:szCs w:val="23"/>
                <w:color w:val="auto"/>
                <w:vertAlign w:val="superscript"/>
              </w:rPr>
              <w:t>(8)</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48,988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48,988</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r>
      <w:tr>
        <w:trPr>
          <w:trHeight w:val="172"/>
        </w:trPr>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14,225,701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14,225,701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208,600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208,600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173"/>
        </w:trPr>
        <w:tc>
          <w:tcPr>
            <w:tcW w:w="28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2" w:lineRule="exact"/>
        <w:rPr>
          <w:sz w:val="20"/>
          <w:szCs w:val="20"/>
          <w:color w:val="auto"/>
        </w:rPr>
      </w:pPr>
    </w:p>
    <w:p>
      <w:pPr>
        <w:jc w:val="both"/>
        <w:ind w:left="520" w:hanging="514"/>
        <w:spacing w:after="0" w:line="260"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3,047,825 shares of Common Stock held directly by Big Cypress Holdings LLC, which includes 598,580 shares of Common Stock that are subject to vesting during a period of up to five years after October 22, 2021, which is the closing date of the Company’s business combination. The vesting of such shares is contingent on achievement of certain stock price milestones. The address of Big Cypress Holdings LLC is 300 W. 41st Street, Suite 202 Miami Beach, FL 33140.</w:t>
      </w:r>
    </w:p>
    <w:p>
      <w:pPr>
        <w:spacing w:after="0" w:line="1" w:lineRule="exact"/>
        <w:rPr>
          <w:rFonts w:ascii="Arial" w:cs="Arial" w:eastAsia="Arial" w:hAnsi="Arial"/>
          <w:sz w:val="14"/>
          <w:szCs w:val="14"/>
          <w:color w:val="auto"/>
        </w:rPr>
      </w:pPr>
    </w:p>
    <w:p>
      <w:pPr>
        <w:jc w:val="both"/>
        <w:ind w:left="520" w:hanging="514"/>
        <w:spacing w:after="0" w:line="262" w:lineRule="auto"/>
        <w:tabs>
          <w:tab w:leader="none" w:pos="5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Consists of (i) 5,074,351 shares of Common Stock held directly by Mrs. Hamilton, (ii) 25,000 shares of Common Stock held by Christensen Investments, LLC, (iii) 5,003,084 shares of Common Stock held by Mrs. Hamilton’s spouse, (iv) 118,259 shares issuable to Mrs. Hamilton pursuant to options exercisable within 60 days of October 28, 2021, and (v) 465,284 shares issuable to Mrs. Hamilton’s spouse pursuant to options exercisable within 60 days of October 28, 2021. Excludes (i) 2,039,938 shares issued into escrow for her benefit, the release from which is subject to achievement of certain stock price milestones (while such shares are held in escrow, Mrs. Hamilton has neither voting power nor dispositive power over the escrowed shares), (ii) 2,009,697 shares issued into escrow for her spouse’s benefit, the release from which is subject to achievement of certain stock price milestones, (iii) 47,777 restricted stock units that become vested upon achievement of certain stock price milestones, and (iv) 187,975 restricted stock units held by her spouse that become vested upon achievement of certain stock price milestones. Mrs. Hamilton disclaims any beneficial ownership of the reported securities other than to the extent of any pecuniary interests she may have therein. Mrs. Hamilton’s address is c/o SAB Biotherapeutics, Inc., 2100 East 54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North, Sioux Falls, SD 57104.</w:t>
      </w:r>
    </w:p>
    <w:p>
      <w:pPr>
        <w:spacing w:after="0" w:line="1" w:lineRule="exact"/>
        <w:rPr>
          <w:rFonts w:ascii="Arial" w:cs="Arial" w:eastAsia="Arial" w:hAnsi="Arial"/>
          <w:sz w:val="13"/>
          <w:szCs w:val="13"/>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17 State Street, Suite 2130, New York, NY 10004.</w:t>
      </w:r>
    </w:p>
    <w:p>
      <w:pPr>
        <w:spacing w:after="0" w:line="8" w:lineRule="exact"/>
        <w:rPr>
          <w:rFonts w:ascii="Arial" w:cs="Arial" w:eastAsia="Arial" w:hAnsi="Arial"/>
          <w:sz w:val="14"/>
          <w:szCs w:val="14"/>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17 State Street, Suite 2130, New York, NY 10004.</w:t>
      </w:r>
    </w:p>
    <w:p>
      <w:pPr>
        <w:spacing w:after="0" w:line="10" w:lineRule="exact"/>
        <w:rPr>
          <w:rFonts w:ascii="Arial" w:cs="Arial" w:eastAsia="Arial" w:hAnsi="Arial"/>
          <w:sz w:val="14"/>
          <w:szCs w:val="14"/>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Ladenburg Thalmann &amp; Co., Inc. 277 Park Ave 26th Fl, New York, NY 10172.</w:t>
      </w:r>
    </w:p>
    <w:p>
      <w:pPr>
        <w:spacing w:after="0" w:line="10" w:lineRule="exact"/>
        <w:rPr>
          <w:rFonts w:ascii="Arial" w:cs="Arial" w:eastAsia="Arial" w:hAnsi="Arial"/>
          <w:sz w:val="14"/>
          <w:szCs w:val="14"/>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c/o Ladenburg Thalmann &amp; Co., Inc. 277 Park Ave 26th Fl, New York, NY 10172.</w:t>
      </w:r>
    </w:p>
    <w:p>
      <w:pPr>
        <w:spacing w:after="0" w:line="10" w:lineRule="exact"/>
        <w:rPr>
          <w:rFonts w:ascii="Arial" w:cs="Arial" w:eastAsia="Arial" w:hAnsi="Arial"/>
          <w:sz w:val="14"/>
          <w:szCs w:val="14"/>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c/o Ladenburg Thalmann &amp; Co., Inc. 277 Park Ave 26th Fl, New York, NY 10172.</w:t>
      </w:r>
    </w:p>
    <w:p>
      <w:pPr>
        <w:spacing w:after="0" w:line="10" w:lineRule="exact"/>
        <w:rPr>
          <w:rFonts w:ascii="Arial" w:cs="Arial" w:eastAsia="Arial" w:hAnsi="Arial"/>
          <w:sz w:val="14"/>
          <w:szCs w:val="14"/>
          <w:color w:val="auto"/>
        </w:rPr>
      </w:pPr>
    </w:p>
    <w:p>
      <w:pPr>
        <w:ind w:left="520" w:hanging="514"/>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selling shareholder’s address is c/o Ladenburg Thalmann &amp; Co., Inc. 277 Park Ave 26th Fl, New York, NY 10172.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6" w:name="page97"/>
    <w:bookmarkEnd w:id="96"/>
    <w:p>
      <w:pPr>
        <w:jc w:val="center"/>
        <w:spacing w:after="0"/>
        <w:rPr>
          <w:sz w:val="20"/>
          <w:szCs w:val="20"/>
          <w:color w:val="auto"/>
        </w:rPr>
      </w:pPr>
      <w:r>
        <w:rPr>
          <w:rFonts w:ascii="Arial" w:cs="Arial" w:eastAsia="Arial" w:hAnsi="Arial"/>
          <w:sz w:val="14"/>
          <w:szCs w:val="14"/>
          <w:b w:val="1"/>
          <w:bCs w:val="1"/>
          <w:color w:val="auto"/>
        </w:rPr>
        <w:t>DESCRIPTION OF OUR SECURITIES</w:t>
      </w:r>
    </w:p>
    <w:p>
      <w:pPr>
        <w:spacing w:after="0" w:line="18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i w:val="1"/>
          <w:iCs w:val="1"/>
          <w:color w:val="auto"/>
        </w:rPr>
        <w:t>The following is a summary of the rights of our securities. This summary is qualified by reference to the complete text of our second amended and restated certificate of incorporation and amended and restated bylaws filed as exhibits to the registration statement of which this prospectus forms a part.</w:t>
      </w:r>
    </w:p>
    <w:p>
      <w:pPr>
        <w:spacing w:after="0" w:line="13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following summary of the material terms of our securities is not intended to be a complete summary of the rights and preferences of such securities. The descriptions below are qualified by reference to the actual text of the Certificate of Incorporation. We urge you to read our Certificate of Incorporation in its entirety for a complete description of the rights and preferences of our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and Outstanding Stock</w:t>
      </w:r>
    </w:p>
    <w:p>
      <w:pPr>
        <w:spacing w:after="0" w:line="186"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Our authorized capital stock consists of 490,000,000 shares of common stock $0.0001 par value per share, and 10,000,000 shares of preferred stock, $0.0001 par value per share. As of November 1, 2021, there were 43,474,779 shares of our Common Stock issued and outstanding, and no shares of preferred stock issued and outstanding. As of November 1, 2021, the Company has not designated any series of preferred stock.</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Power</w:t>
      </w:r>
    </w:p>
    <w:p>
      <w:pPr>
        <w:spacing w:after="0" w:line="182" w:lineRule="exact"/>
        <w:rPr>
          <w:sz w:val="20"/>
          <w:szCs w:val="20"/>
          <w:color w:val="auto"/>
        </w:rPr>
      </w:pPr>
    </w:p>
    <w:p>
      <w:pPr>
        <w:jc w:val="both"/>
        <w:ind w:firstLine="258"/>
        <w:spacing w:after="0" w:line="326" w:lineRule="auto"/>
        <w:rPr>
          <w:sz w:val="20"/>
          <w:szCs w:val="20"/>
          <w:color w:val="auto"/>
        </w:rPr>
      </w:pPr>
      <w:r>
        <w:rPr>
          <w:rFonts w:ascii="Arial" w:cs="Arial" w:eastAsia="Arial" w:hAnsi="Arial"/>
          <w:sz w:val="13"/>
          <w:szCs w:val="13"/>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Holders of common stock are entitled to one vote per share on matters to be voted on by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Dissolution and Winding Up</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In the event of our voluntary or involuntary liquidation, dissolution, distribution of assets or winding-up, the holders of the common stock will be entitled to receive an equal amount per share of all of our assets of whatever kind available for distribution to stockholders, after the rights of the holders of the preferred stock have been satisfied.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Preemptive or Other Rights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stockholders have no preemptive or other subscription rights and there are no sinking fund or redemption provisions applicable to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Election of Directors</w:t>
      </w:r>
    </w:p>
    <w:p>
      <w:pPr>
        <w:spacing w:after="0" w:line="182"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Our board of directors is divided into three classes, Class I, Class II and Class III, with only one class of directors being elected in each year and each class serving a three-year term, except with respect to the election of directors at the special meeting held in connection with the Business Combination,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Preferred Stock</w:t>
      </w:r>
    </w:p>
    <w:p>
      <w:pPr>
        <w:spacing w:after="0" w:line="186"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Our Certificate of Incorporation provides that shares of preferred stock may be issued from time to time in one or more series. Our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Board is able to, without stockholder approval, issue preferred stock with voting and other rights that could adversely affect the voting power and other rights of the holders of Common Stock and could have anti-takeover effects. The ability of our board of directors to issue preferred stock without stockholder approval could have the effect of delaying, deferring or preventing a change of control of the Company or the removal of existing management.</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no preferred stock outstanding at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Awards</w:t>
      </w:r>
    </w:p>
    <w:p>
      <w:pPr>
        <w:spacing w:after="0" w:line="186"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Upon the closing of the Business Combination, we assumed and converted OLD SAB stock awards that were outstanding under OLD SAB’s equity incentive plans into stock awards to purchase an aggregate of 3,730,504 shares of Common Stock. As of the closing of the Business Combination, 11,000,000 shares of common stock were reserved for future issuance under our Plan, which amount may be subject to increase from time to time, and no stock awards as of the date hereof have been granted pursuant to such plan. For additional information regarding the terms of these plans, see “Executive Compensation — Equity Benefit Plans.” We intend to file one or more registration statements on Form S-8 with respect to these plans after 60 days from the closing of the Business Combination.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186"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As of the closing of the Business Combination, there were 5,958,600 Warrants to purchase Common Stock outstanding, consisting of 5,750,000 Public Warrants and 208,600 Private Placement Warrants. Each whole warrant entitles the registered holder to purchase one whole share of our Common Stock at a price of $11.50 per share, subject to adjustment as discussed below, at any time commencing on the later of 12 months from the closing of the GX IPO or 30 days after the completion of our Business Combination. The Warrants will expire five years after the completion of the Business Combination, at 5:00 p.m., New York City time, or earlier upon redemption or liquidation.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Stockholders’ Warrants</w:t>
      </w:r>
    </w:p>
    <w:p>
      <w:pPr>
        <w:spacing w:after="0" w:line="182"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Pursuant to the Warrant Agreement, each whole warrant entitles the registered holder to purchase one share of Common Stock at a price of $11.50 per share, subject to adjustment as discussed below, at any time commencing 30 days after the completion of the Merger. Pursuant to the Warrant Agreement, a warrant holder may exercise its warrants only for a whole number of shares of Common Stock. This means only a whole warrant may be exercised at a given time by a warrant holder. The warrants will expire five years after the completion of the merger, at 5:00 p.m., New York City time, or earlier upon redemption or liquidation.</w:t>
      </w:r>
    </w:p>
    <w:p>
      <w:pPr>
        <w:spacing w:after="0" w:line="145" w:lineRule="exact"/>
        <w:rPr>
          <w:sz w:val="20"/>
          <w:szCs w:val="20"/>
          <w:color w:val="auto"/>
        </w:rPr>
      </w:pPr>
    </w:p>
    <w:p>
      <w:pPr>
        <w:jc w:val="both"/>
        <w:ind w:firstLine="258"/>
        <w:spacing w:after="0" w:line="280" w:lineRule="auto"/>
        <w:rPr>
          <w:sz w:val="20"/>
          <w:szCs w:val="20"/>
          <w:color w:val="auto"/>
        </w:rPr>
      </w:pPr>
      <w:r>
        <w:rPr>
          <w:rFonts w:ascii="Arial" w:cs="Arial" w:eastAsia="Arial" w:hAnsi="Arial"/>
          <w:sz w:val="13"/>
          <w:szCs w:val="13"/>
          <w:color w:val="auto"/>
        </w:rPr>
        <w:t>The Company is not obligated to deliver any shares of Common Stock pursuant to the exercise of a warrant and will have no obligation to settle such warrant exercise unless a registration statement under the Securities Act covering the issuance of the shares of Common Stock issuable upon exercise of the warrants is then effective and a current prospectus relating to those shares of Common Stock is available, subject to the Company satisfying its obligations described below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warrant, the holder of such warrant will not be entitled to exercise such warrant and such warrant may have no value and expire worthless. The Company has agreed that as soon as practicable, but in no event later than 15 business days after the Closing of the merger, it will use its reasonable best efforts to file with the SEC, and within 60 business days following the merger to have declared effective, a registration statement covering the issuance of the shares of Common Stock issuable upon exercise of the warrants and to maintain a current prospectus relating to those shares of Common Stock until the warrants expire or are redeemed. Notwithstanding the above, if the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New SAB Biotherapeutics so elects, it will not be required to file or maintain in effect a registration statement, but will use its reasonable best efforts to qualify the shares under applicable blue sky laws to the extent an exemption is not available.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i w:val="1"/>
          <w:iCs w:val="1"/>
          <w:color w:val="auto"/>
        </w:rPr>
        <w:t>Redemption of Warrants.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Redemption of warrants when the price per share of New SAB Biotherapeutics Common Stock equals or exceeds $18.00.</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Once the warrants become exercisable, New SAB Biotherapeutics may call the warrants for redemption.</w:t>
      </w:r>
    </w:p>
    <w:p>
      <w:pPr>
        <w:spacing w:after="0" w:line="182" w:lineRule="exact"/>
        <w:rPr>
          <w:sz w:val="20"/>
          <w:szCs w:val="20"/>
          <w:color w:val="auto"/>
        </w:rPr>
      </w:pPr>
    </w:p>
    <w:p>
      <w:pPr>
        <w:jc w:val="both"/>
        <w:ind w:firstLine="258"/>
        <w:spacing w:after="0" w:line="282" w:lineRule="auto"/>
        <w:rPr>
          <w:sz w:val="20"/>
          <w:szCs w:val="20"/>
          <w:color w:val="auto"/>
        </w:rPr>
      </w:pPr>
      <w:r>
        <w:rPr>
          <w:rFonts w:ascii="Arial" w:cs="Arial" w:eastAsia="Arial" w:hAnsi="Arial"/>
          <w:sz w:val="13"/>
          <w:szCs w:val="13"/>
          <w:color w:val="auto"/>
        </w:rPr>
        <w:t>Warrants will not be exercisable for cash unless New SAB Biotherapeutics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60 business days following the Business Combination, holders of Public Warrants may, until such time as there is an effective registration statement and during any period when the Company has failed to maintain an effective registration statement, exercise Public Warrants on a cashless basis pursuant to the exemption provided by Section 3(a)(9) of the Securities Act, provided that such exemption is available. If that exemption, or another exemption, is not available, holders will not be able to exercise their Public Warrants on a cashless basis. In the event of such a cashless exercise, each holder would pay the exercise price by surrendering the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(as defined below) by (y) the fair market value. The “fair market value” for this purpose means the average reported last sale price of the shares of New SAB Biotherapeutics Common Stock for the ten trading days ending on the trading day prior to the date of exercise.</w:t>
      </w:r>
    </w:p>
    <w:p>
      <w:pPr>
        <w:spacing w:after="0" w:line="136"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3"/>
          <w:szCs w:val="13"/>
          <w:color w:val="auto"/>
        </w:rPr>
        <w:t>The Company may call the Warrants for redemption (excluding the Private Warrants), in whole and not in part, at a price of $0.01 per warrant, (i) at any time after the Warrants become exercisable, (ii) upon not less than 30 days’ prior written notice of redemption to each holder of Warrants after the warrants become exercisable, and (iii) 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trading day prior to the notice of redemption to holders of Warrants.</w:t>
      </w:r>
    </w:p>
    <w:p>
      <w:pPr>
        <w:spacing w:after="0" w:line="131"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31"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below) by (y) the fair market value. The “fair market value” for this purpose means the average reported last sale price of the shares of Common Stock for the ten trading days ending on the third trading day prior to the date on which the notice of redemption is sent to the holders of Warrants.</w:t>
      </w:r>
    </w:p>
    <w:p>
      <w:pPr>
        <w:spacing w:after="0" w:line="148"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99" w:name="page100"/>
    <w:bookmarkEnd w:id="99"/>
    <w:p>
      <w:pPr>
        <w:jc w:val="both"/>
        <w:ind w:firstLine="258"/>
        <w:spacing w:after="0" w:line="280" w:lineRule="auto"/>
        <w:rPr>
          <w:sz w:val="20"/>
          <w:szCs w:val="20"/>
          <w:color w:val="auto"/>
        </w:rPr>
      </w:pPr>
      <w:r>
        <w:rPr>
          <w:rFonts w:ascii="Arial" w:cs="Arial" w:eastAsia="Arial" w:hAnsi="Arial"/>
          <w:sz w:val="13"/>
          <w:szCs w:val="13"/>
          <w:color w:val="auto"/>
        </w:rPr>
        <w:t>In addition,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w:t>
      </w:r>
    </w:p>
    <w:p>
      <w:pPr>
        <w:spacing w:after="0" w:line="2" w:lineRule="exact"/>
        <w:rPr>
          <w:sz w:val="20"/>
          <w:szCs w:val="20"/>
          <w:color w:val="auto"/>
        </w:rPr>
      </w:pPr>
    </w:p>
    <w:p>
      <w:pPr>
        <w:jc w:val="both"/>
        <w:ind w:firstLine="6"/>
        <w:spacing w:after="0" w:line="284" w:lineRule="auto"/>
        <w:tabs>
          <w:tab w:leader="none" w:pos="207"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aggregate gross proceeds from such issuances represent more than 60% of the total equity proceeds, and interest thereon, available for the funding of the Business Combination on the date of the consummation of the Business Combination (net of redemptions), and (z) the “market value” (as defined below) is below $9.20 per share, the exercise price of the Warrants will be adjusted (to the nearest cent) to be equal to 115% of the greater of, and the $18.00 per share redemption trigger price described above will be adjusted (to the nearest cent) to be equal to 180% of the higher of, (i) the market value or (ii) the price at which the Company issues the additional shares of common stock or equity-linked securities. The “market value” for this purpose means the volume weighted average trading price of Common Stock during the 20 trading day period starting on the trading day prior to the Closing Date.</w:t>
      </w:r>
    </w:p>
    <w:p>
      <w:pPr>
        <w:spacing w:after="0" w:line="13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No fractional shares will be issued upon exercise of the Warrants. If, upon exercise of the Warrants, a holder would be entitled to receive a fractional interest in a share, the Company will, upon exercise, round up to the nearest whole number the number of shares of Common Stock to be issued to the warrant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Anti-Takeover Provisions of Delaware Law</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Meetings of Stockholders</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Our Amended and Restated Bylaws provide that special meetings of our stockholders may be called only by a majority vote of the board of directors, by the Chairperson of the board of directors, or by the chief executive officer.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 Notice Requirements for Stockholder Proposals and Director Nominations</w:t>
      </w:r>
    </w:p>
    <w:p>
      <w:pPr>
        <w:spacing w:after="0" w:line="182" w:lineRule="exact"/>
        <w:rPr>
          <w:sz w:val="20"/>
          <w:szCs w:val="20"/>
          <w:color w:val="auto"/>
        </w:rPr>
      </w:pPr>
    </w:p>
    <w:p>
      <w:pPr>
        <w:jc w:val="both"/>
        <w:ind w:firstLine="258"/>
        <w:spacing w:after="0" w:line="283" w:lineRule="auto"/>
        <w:rPr>
          <w:sz w:val="20"/>
          <w:szCs w:val="20"/>
          <w:color w:val="auto"/>
        </w:rPr>
      </w:pPr>
      <w:r>
        <w:rPr>
          <w:rFonts w:ascii="Arial" w:cs="Arial" w:eastAsia="Arial" w:hAnsi="Arial"/>
          <w:sz w:val="13"/>
          <w:szCs w:val="13"/>
          <w:color w:val="auto"/>
        </w:rPr>
        <w:t>Our Amended and Restated Bylaws provide that stockholders seeking to bring business before our annual meeting of stockholders, or to nominate candidates for election as directors at our annual meeting of stockholders, must provide timely notice of their intent in writing. To be timely under our current bylaws and the Amended and Restated Bylaws, a stockholder’s notice will need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to be received by the company secretary at our principal executive offices not later than the close of business on the 90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nor earlier than the open of business on the 120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prior to the first anniversary of the preceding year’s annual meeting. Pursuant to Rule 14a-8 of the Exchange Act, proposals seeking inclusion in our annual proxy statement must comply with the notice periods contained therein. Our Amended and Restated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Authorized but Unissued Shares</w:t>
      </w:r>
    </w:p>
    <w:p>
      <w:pPr>
        <w:spacing w:after="0" w:line="182"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color w:val="auto"/>
        </w:rPr>
        <w:t>Exclusive Forum Selection</w:t>
      </w:r>
    </w:p>
    <w:p>
      <w:pPr>
        <w:spacing w:after="0" w:line="182"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4"/>
          <w:szCs w:val="14"/>
          <w:color w:val="auto"/>
        </w:rPr>
        <w:t>The Certificate of Incorporation provides that unless we consent in writing to the selection of an alternative forum, the Court of Chancery of the State of Delaware (subject to certain limited exceptions) shall be the sole and exclusive forum for any of the following claims (i) any derivative claim or cause of action brought on our behalf, (ii) any claim or cause of action asserting a claim of breach of a fiduciary duty owed by any director, officer or other employee of the Company to the Company or to the Company’s stockholders, (iii) any claim or cause of action against us, our directors, officers or employees arising pursuant to any provision of the DGCL, the Certificate of Incorporation or the Amended and Restated Bylaws, (iv) any claim or cause of action seeking to interpret, apply, enforce or determine the validity of the Certificate of Incorporation or the Amended and Restated Bylaws, (v) any claim or cause of action as to which the DGCL confers jurisdiction to the Court of Chancery of the State of Delaware; and (vi) any claim or cause of action against the Company or any current or former director, officer or other employee of the Company governed by the internal affairs doctrine, in all cases to the fullest extent permitted by law and subject to the court’s having personal jurisdiction over the indispensable parties named as defendants. Any person or entity holding, owning or otherwise acquiring any interest in shares of capital stock of the Company shall be deemed to have notice of and to have consented to such provisions.</w:t>
      </w:r>
    </w:p>
    <w:p>
      <w:pPr>
        <w:spacing w:after="0" w:line="153"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Although we believe these provisions benefit us by providing increased consistency in the application of Delaware law in the types of lawsuits to which they apply,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 Additionally, we cannot be certain that a court will decide that these provisions are either applicable or enforceable, and if a court were to find the choice of forum provisions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33"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4"/>
          <w:szCs w:val="14"/>
          <w:color w:val="auto"/>
        </w:rPr>
        <w:t>Our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the Proposed Charter provides that the federal district courts of the United States will be the exclusive forum for resolving any complaint asserting a cause of action arising under the Securities Act.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Section 203 of the Delaware General Corporation Law</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We are subject to provisions of Section 203 of the DGCL regulating corporate takeovers under our Certificate of Incorporation. This statute prevents certain Delaware corporations, under certain circumstances, from engaging in a “business combination” with:</w:t>
      </w:r>
    </w:p>
    <w:p>
      <w:pPr>
        <w:spacing w:after="0" w:line="131" w:lineRule="exact"/>
        <w:rPr>
          <w:sz w:val="20"/>
          <w:szCs w:val="20"/>
          <w:color w:val="auto"/>
        </w:rPr>
      </w:pPr>
    </w:p>
    <w:p>
      <w:pPr>
        <w:ind w:left="520" w:hanging="257"/>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stockholder who owns 15% or more of our outstanding voting stock (otherwise known as an “interested stockholder”);</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affiliate of an interested stockholder; or</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associate of an interested stockholder, for three years following the date that the stockholder became an interested stockholder.</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“business combination” includes a merger or sale of more than 10% of our assets. However, the above provisions of Section 203 do not apply if:</w:t>
      </w:r>
    </w:p>
    <w:p>
      <w:pPr>
        <w:spacing w:after="0" w:line="182" w:lineRule="exact"/>
        <w:rPr>
          <w:sz w:val="20"/>
          <w:szCs w:val="20"/>
          <w:color w:val="auto"/>
        </w:rPr>
      </w:pPr>
    </w:p>
    <w:p>
      <w:pPr>
        <w:ind w:left="520" w:hanging="257"/>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our board of directors approves the transaction that made the stockholder an “interested stockholder,” prior to the date of the transaction;</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1"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or subsequent to the date of the transaction, our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1" w:name="page102"/>
    <w:bookmarkEnd w:id="101"/>
    <w:p>
      <w:pPr>
        <w:jc w:val="both"/>
        <w:ind w:firstLine="258"/>
        <w:spacing w:after="0" w:line="292" w:lineRule="auto"/>
        <w:rPr>
          <w:sz w:val="20"/>
          <w:szCs w:val="20"/>
          <w:color w:val="auto"/>
        </w:rPr>
      </w:pPr>
      <w:r>
        <w:rPr>
          <w:rFonts w:ascii="Arial" w:cs="Arial" w:eastAsia="Arial" w:hAnsi="Arial"/>
          <w:sz w:val="13"/>
          <w:szCs w:val="13"/>
          <w:color w:val="auto"/>
        </w:rPr>
        <w:t>Under certain circumstances, this provision will make it more difficult for a person who would be an “interested stockholder” to effect various business combinations with the Company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and Indemnification of Directors and Officers</w:t>
      </w:r>
    </w:p>
    <w:p>
      <w:pPr>
        <w:spacing w:after="0" w:line="186"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4"/>
          <w:szCs w:val="14"/>
          <w:color w:val="auto"/>
        </w:rPr>
        <w:t>The Certificate of Incorporation eliminates directors’ liability for monetary damages to the fullest extent permitted by applicable law. Our Certificate of Incorporation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Certificate of Incorporation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The transfer agent for our securities is Continental Stock Transfer &amp; Trust Company. The transfer agent’s address is One State Street Plaza, 30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MATERIAL UNITED STATES FEDERAL INCOME TAX CONSEQUENCES</w:t>
      </w:r>
    </w:p>
    <w:p>
      <w:pPr>
        <w:spacing w:after="0" w:line="186"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The following discussion is a summary of material U.S. federal income tax considerations generally applicable to the purchase, ownership and disposition of our Common Stock and the purchase, exercise, disposition and lapse of our Warrants. The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124"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This discussion is not a complete analysis of all potential U.S. federal income tax consequences relating to the purchase, ownership and disposition of our securities. This summary is based upon current provisions of the Code, existing U.S. Treasury Regulations promulgated thereunder, published administrative pronouncements and rulings of the U.S. Internal Revenue Service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w:t>
      </w:r>
    </w:p>
    <w:p>
      <w:pPr>
        <w:spacing w:after="0" w:line="147"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4"/>
          <w:szCs w:val="14"/>
          <w:color w:val="auto"/>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federal tax laws. This discussion also does not address consequences relevant to holders subject to special tax rules, such as holders that own, or are deemed to own, 5% or more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15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145"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31" w:lineRule="exact"/>
        <w:rPr>
          <w:sz w:val="20"/>
          <w:szCs w:val="20"/>
          <w:color w:val="auto"/>
        </w:rPr>
      </w:pPr>
    </w:p>
    <w:p>
      <w:pPr>
        <w:ind w:left="520" w:hanging="257"/>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82" w:lineRule="exact"/>
        <w:rPr>
          <w:rFonts w:ascii="Arial" w:cs="Arial" w:eastAsia="Arial" w:hAnsi="Arial"/>
          <w:sz w:val="14"/>
          <w:szCs w:val="14"/>
          <w:color w:val="auto"/>
        </w:rPr>
      </w:pPr>
    </w:p>
    <w:p>
      <w:pPr>
        <w:ind w:left="520" w:right="340" w:hanging="257"/>
        <w:spacing w:after="0" w:line="286"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trust if (a) a U.S. court can exercise primary supervision over the trust’s administration and one or more U.S. persons have the authority to control all of the trust’s substantial decisions or</w:t>
      </w:r>
    </w:p>
    <w:p>
      <w:pPr>
        <w:spacing w:after="0" w:line="31"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(b) the trust has a valid election in effect under applicable U.S. Treasury Regulations to be treated as a U.S. person.</w:t>
      </w:r>
    </w:p>
    <w:p>
      <w:pPr>
        <w:spacing w:after="0" w:line="173"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Tax Considerations Applicable to U.S. Holders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of Distributions</w:t>
      </w:r>
    </w:p>
    <w:p>
      <w:pPr>
        <w:spacing w:after="0" w:line="182"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our Common Stock and will be treated as described below under </w:t>
      </w:r>
      <w:r>
        <w:rPr>
          <w:rFonts w:ascii="Arial" w:cs="Arial" w:eastAsia="Arial" w:hAnsi="Arial"/>
          <w:sz w:val="13"/>
          <w:szCs w:val="13"/>
          <w:i w:val="1"/>
          <w:iCs w:val="1"/>
          <w:color w:val="auto"/>
        </w:rPr>
        <w:t>“— Tax Considerations Applicable to U.S. Holders — Gain or Loss on Sale, Taxable Exchange or Other Taxable Disposition of Common Stock</w:t>
      </w:r>
      <w:r>
        <w:rPr>
          <w:rFonts w:ascii="Arial" w:cs="Arial" w:eastAsia="Arial" w:hAnsi="Arial"/>
          <w:sz w:val="13"/>
          <w:szCs w:val="13"/>
          <w:color w:val="auto"/>
        </w:rPr>
        <w:t>”.</w:t>
      </w:r>
    </w:p>
    <w:p>
      <w:pPr>
        <w:spacing w:after="0" w:line="133"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long-term capital gains rates. If the applicable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or Loss on Sale, Taxable Exchange or Other Taxable Disposition of Common Stock</w:t>
      </w:r>
    </w:p>
    <w:p>
      <w:pPr>
        <w:spacing w:after="0" w:line="182" w:lineRule="exact"/>
        <w:rPr>
          <w:sz w:val="20"/>
          <w:szCs w:val="20"/>
          <w:color w:val="auto"/>
        </w:rPr>
      </w:pPr>
    </w:p>
    <w:p>
      <w:pPr>
        <w:jc w:val="both"/>
        <w:ind w:firstLine="258"/>
        <w:spacing w:after="0" w:line="284" w:lineRule="auto"/>
        <w:rPr>
          <w:sz w:val="20"/>
          <w:szCs w:val="20"/>
          <w:color w:val="auto"/>
        </w:rPr>
      </w:pPr>
      <w:r>
        <w:rPr>
          <w:rFonts w:ascii="Arial" w:cs="Arial" w:eastAsia="Arial" w:hAnsi="Arial"/>
          <w:sz w:val="13"/>
          <w:szCs w:val="13"/>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Exercise of a Warrant</w:t>
      </w:r>
    </w:p>
    <w:p>
      <w:pPr>
        <w:spacing w:after="0" w:line="182" w:lineRule="exact"/>
        <w:rPr>
          <w:sz w:val="20"/>
          <w:szCs w:val="20"/>
          <w:color w:val="auto"/>
        </w:rPr>
      </w:pPr>
    </w:p>
    <w:p>
      <w:pPr>
        <w:jc w:val="both"/>
        <w:ind w:firstLine="258"/>
        <w:spacing w:after="0" w:line="292" w:lineRule="auto"/>
        <w:rPr>
          <w:sz w:val="20"/>
          <w:szCs w:val="20"/>
          <w:color w:val="auto"/>
        </w:rPr>
      </w:pPr>
      <w:r>
        <w:rPr>
          <w:rFonts w:ascii="Arial" w:cs="Arial" w:eastAsia="Arial" w:hAnsi="Arial"/>
          <w:sz w:val="13"/>
          <w:szCs w:val="13"/>
          <w:color w:val="auto"/>
        </w:rPr>
        <w:t>Except as discussed below with respect to the cashless exercise of a Warrant, a U.S. Holder generally will not recognize taxable gain or loss upon the exercise of a Warrant for cash. The U.S. Holder’s initial tax basis in the share of our Common Stock received upon exercise of the Warrant will generally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4" w:name="page105"/>
    <w:bookmarkEnd w:id="104"/>
    <w:p>
      <w:pPr>
        <w:jc w:val="both"/>
        <w:ind w:firstLine="258"/>
        <w:spacing w:after="0" w:line="301" w:lineRule="auto"/>
        <w:rPr>
          <w:sz w:val="20"/>
          <w:szCs w:val="20"/>
          <w:color w:val="auto"/>
        </w:rPr>
      </w:pPr>
      <w:r>
        <w:rPr>
          <w:rFonts w:ascii="Arial" w:cs="Arial" w:eastAsia="Arial" w:hAnsi="Arial"/>
          <w:sz w:val="13"/>
          <w:szCs w:val="13"/>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Common Stock received upon exercise of the Warrant.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Exchange, Redemption or Expiration of a Warrant</w:t>
      </w:r>
    </w:p>
    <w:p>
      <w:pPr>
        <w:spacing w:after="0" w:line="182"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Arial" w:cs="Arial" w:eastAsia="Arial" w:hAnsi="Arial"/>
          <w:sz w:val="14"/>
          <w:szCs w:val="14"/>
          <w:i w:val="1"/>
          <w:iCs w:val="1"/>
          <w:color w:val="auto"/>
        </w:rPr>
        <w:t>Tax Considerations Applicable to U.S.</w:t>
      </w:r>
      <w:r>
        <w:rPr>
          <w:rFonts w:ascii="Arial" w:cs="Arial" w:eastAsia="Arial" w:hAnsi="Arial"/>
          <w:sz w:val="14"/>
          <w:szCs w:val="14"/>
          <w:color w:val="auto"/>
        </w:rPr>
        <w:t xml:space="preserve"> </w:t>
      </w:r>
      <w:r>
        <w:rPr>
          <w:rFonts w:ascii="Arial" w:cs="Arial" w:eastAsia="Arial" w:hAnsi="Arial"/>
          <w:sz w:val="14"/>
          <w:szCs w:val="14"/>
          <w:i w:val="1"/>
          <w:iCs w:val="1"/>
          <w:color w:val="auto"/>
        </w:rPr>
        <w:t>Holders — Possible Constructive Distributions</w:t>
      </w:r>
      <w:r>
        <w:rPr>
          <w:rFonts w:ascii="Arial" w:cs="Arial" w:eastAsia="Arial" w:hAnsi="Arial"/>
          <w:sz w:val="14"/>
          <w:szCs w:val="14"/>
          <w:color w:val="auto"/>
        </w:rPr>
        <w:t>”). Such gain or loss generally will be treated as long-term capital gain or loss if the Warrant is held by the U.S. Holder for more than one year at the</w:t>
      </w:r>
      <w:r>
        <w:rPr>
          <w:rFonts w:ascii="Arial" w:cs="Arial" w:eastAsia="Arial" w:hAnsi="Arial"/>
          <w:sz w:val="14"/>
          <w:szCs w:val="14"/>
          <w:i w:val="1"/>
          <w:iCs w:val="1"/>
          <w:color w:val="auto"/>
        </w:rPr>
        <w:t xml:space="preserve"> </w:t>
      </w:r>
      <w:r>
        <w:rPr>
          <w:rFonts w:ascii="Arial" w:cs="Arial" w:eastAsia="Arial" w:hAnsi="Arial"/>
          <w:sz w:val="14"/>
          <w:szCs w:val="14"/>
          <w:color w:val="auto"/>
        </w:rPr>
        <w:t>time of such disposition or expiration.</w:t>
      </w:r>
    </w:p>
    <w:p>
      <w:pPr>
        <w:spacing w:after="0" w:line="148"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Possible Constructive Distributions</w:t>
      </w:r>
    </w:p>
    <w:p>
      <w:pPr>
        <w:spacing w:after="0" w:line="182" w:lineRule="exact"/>
        <w:rPr>
          <w:sz w:val="20"/>
          <w:szCs w:val="20"/>
          <w:color w:val="auto"/>
        </w:rPr>
      </w:pPr>
    </w:p>
    <w:p>
      <w:pPr>
        <w:jc w:val="both"/>
        <w:ind w:firstLine="258"/>
        <w:spacing w:after="0" w:line="282" w:lineRule="auto"/>
        <w:rPr>
          <w:sz w:val="20"/>
          <w:szCs w:val="20"/>
          <w:color w:val="auto"/>
        </w:rPr>
      </w:pPr>
      <w:r>
        <w:rPr>
          <w:rFonts w:ascii="Arial" w:cs="Arial" w:eastAsia="Arial" w:hAnsi="Arial"/>
          <w:sz w:val="13"/>
          <w:szCs w:val="13"/>
          <w:color w:val="auto"/>
        </w:rPr>
        <w:t>The terms of each Warrant provide for an adjustment to the number of shares of Common Stock for which the Warrant may be exercised or to the exercise price of the Warrant upon the occurrence of certain events, as discussed in the section of this prospectus captioned “</w:t>
      </w:r>
      <w:r>
        <w:rPr>
          <w:rFonts w:ascii="Arial" w:cs="Arial" w:eastAsia="Arial" w:hAnsi="Arial"/>
          <w:sz w:val="13"/>
          <w:szCs w:val="13"/>
          <w:i w:val="1"/>
          <w:iCs w:val="1"/>
          <w:color w:val="auto"/>
        </w:rPr>
        <w:t>Description of our Securities —Warrants</w:t>
      </w:r>
      <w:r>
        <w:rPr>
          <w:rFonts w:ascii="Arial" w:cs="Arial" w:eastAsia="Arial" w:hAnsi="Arial"/>
          <w:sz w:val="13"/>
          <w:szCs w:val="13"/>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 decrease to the exercise price of the Warrant) as a result of a distribution of cash to the holders of shares of our Common Stock which is taxable to such holders as a distribution. Such constructive distribution would be subject to tax as described above under “</w:t>
      </w:r>
      <w:r>
        <w:rPr>
          <w:rFonts w:ascii="Arial" w:cs="Arial" w:eastAsia="Arial" w:hAnsi="Arial"/>
          <w:sz w:val="13"/>
          <w:szCs w:val="13"/>
          <w:i w:val="1"/>
          <w:iCs w:val="1"/>
          <w:color w:val="auto"/>
        </w:rPr>
        <w:t>Tax Considerations Applicable to U.S. Holders — Taxation of Distributions</w:t>
      </w:r>
      <w:r>
        <w:rPr>
          <w:rFonts w:ascii="Arial" w:cs="Arial" w:eastAsia="Arial" w:hAnsi="Arial"/>
          <w:sz w:val="13"/>
          <w:szCs w:val="13"/>
          <w:color w:val="auto"/>
        </w:rPr>
        <w:t>” in the same manner as if such U.S. Holder received a cash distribution from us on Common Stock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82"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In general, information reporting requirements may apply to dividends paid to a U.S. Holder and to the proceeds of the sale or other disposition of our shares of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124"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Tax Considerations Applicable to Non-U.S. Holders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of Distributions</w:t>
      </w:r>
    </w:p>
    <w:p>
      <w:pPr>
        <w:spacing w:after="0" w:line="182" w:lineRule="exact"/>
        <w:rPr>
          <w:sz w:val="20"/>
          <w:szCs w:val="20"/>
          <w:color w:val="auto"/>
        </w:rPr>
      </w:pPr>
    </w:p>
    <w:p>
      <w:pPr>
        <w:jc w:val="both"/>
        <w:ind w:firstLine="258"/>
        <w:spacing w:after="0" w:line="258" w:lineRule="auto"/>
        <w:rPr>
          <w:sz w:val="20"/>
          <w:szCs w:val="20"/>
          <w:color w:val="auto"/>
        </w:rPr>
      </w:pPr>
      <w:r>
        <w:rPr>
          <w:rFonts w:ascii="Arial" w:cs="Arial" w:eastAsia="Arial" w:hAnsi="Arial"/>
          <w:sz w:val="14"/>
          <w:szCs w:val="14"/>
          <w:color w:val="auto"/>
        </w:rPr>
        <w:t>In general, any distributions (including constructive distributions) we make to a non-U.S. Holder of shares on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Arial" w:cs="Arial" w:eastAsia="Arial" w:hAnsi="Arial"/>
          <w:sz w:val="14"/>
          <w:szCs w:val="14"/>
          <w:i w:val="1"/>
          <w:iCs w:val="1"/>
          <w:color w:val="auto"/>
        </w:rPr>
        <w:t>Non-U.S. Holders — Possible Constructive Distributions</w:t>
      </w:r>
      <w:r>
        <w:rPr>
          <w:rFonts w:ascii="Arial" w:cs="Arial" w:eastAsia="Arial" w:hAnsi="Arial"/>
          <w:sz w:val="14"/>
          <w:szCs w:val="14"/>
          <w:color w:val="auto"/>
        </w:rPr>
        <w:t xml:space="preserve">”),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below under </w:t>
      </w:r>
      <w:r>
        <w:rPr>
          <w:rFonts w:ascii="Arial" w:cs="Arial" w:eastAsia="Arial" w:hAnsi="Arial"/>
          <w:sz w:val="14"/>
          <w:szCs w:val="14"/>
          <w:i w:val="1"/>
          <w:iCs w:val="1"/>
          <w:color w:val="auto"/>
        </w:rPr>
        <w:t>“Tax Considerations Applicable to Non-U.S. Holders — Gain or Loss on Sale, Taxable Exchange or Other Taxable Disposition of Common Stock and Warrants</w:t>
      </w:r>
      <w:r>
        <w:rPr>
          <w:rFonts w:ascii="Arial" w:cs="Arial" w:eastAsia="Arial" w:hAnsi="Arial"/>
          <w:sz w:val="14"/>
          <w:szCs w:val="14"/>
          <w:color w:val="auto"/>
        </w:rPr>
        <w:t>”. In addition, if we determine that we are likely to be classified as a “United States real property holding corporation” (see “</w:t>
      </w:r>
      <w:r>
        <w:rPr>
          <w:rFonts w:ascii="Arial" w:cs="Arial" w:eastAsia="Arial" w:hAnsi="Arial"/>
          <w:sz w:val="14"/>
          <w:szCs w:val="14"/>
          <w:i w:val="1"/>
          <w:iCs w:val="1"/>
          <w:color w:val="auto"/>
        </w:rPr>
        <w:t>Tax Considerations Applicable to Non-U.S. Holders — Gain or Loss on</w:t>
      </w:r>
      <w:r>
        <w:rPr>
          <w:rFonts w:ascii="Arial" w:cs="Arial" w:eastAsia="Arial" w:hAnsi="Arial"/>
          <w:sz w:val="14"/>
          <w:szCs w:val="14"/>
          <w:color w:val="auto"/>
        </w:rPr>
        <w:t xml:space="preserve"> </w:t>
      </w:r>
      <w:r>
        <w:rPr>
          <w:rFonts w:ascii="Arial" w:cs="Arial" w:eastAsia="Arial" w:hAnsi="Arial"/>
          <w:sz w:val="14"/>
          <w:szCs w:val="14"/>
          <w:i w:val="1"/>
          <w:iCs w:val="1"/>
          <w:color w:val="auto"/>
        </w:rPr>
        <w:t>Sale, Taxable Exchange or Other Taxable Disposition of Common Stock and Warrants</w:t>
      </w:r>
      <w:r>
        <w:rPr>
          <w:rFonts w:ascii="Arial" w:cs="Arial" w:eastAsia="Arial" w:hAnsi="Arial"/>
          <w:sz w:val="14"/>
          <w:szCs w:val="14"/>
          <w:color w:val="auto"/>
        </w:rPr>
        <w:t>” below), we will withhold 15% of any distribution that exceeds our current and accumulated earnings and</w:t>
      </w:r>
      <w:r>
        <w:rPr>
          <w:rFonts w:ascii="Arial" w:cs="Arial" w:eastAsia="Arial" w:hAnsi="Arial"/>
          <w:sz w:val="14"/>
          <w:szCs w:val="14"/>
          <w:i w:val="1"/>
          <w:iCs w:val="1"/>
          <w:color w:val="auto"/>
        </w:rPr>
        <w:t xml:space="preserve"> </w:t>
      </w:r>
      <w:r>
        <w:rPr>
          <w:rFonts w:ascii="Arial" w:cs="Arial" w:eastAsia="Arial" w:hAnsi="Arial"/>
          <w:sz w:val="14"/>
          <w:szCs w:val="14"/>
          <w:color w:val="auto"/>
        </w:rPr>
        <w:t>profits.</w:t>
      </w:r>
    </w:p>
    <w:p>
      <w:pPr>
        <w:spacing w:after="0" w:line="15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Exercise of a Warrant</w:t>
      </w:r>
    </w:p>
    <w:p>
      <w:pPr>
        <w:spacing w:after="0" w:line="182"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 xml:space="preserve">The U.S. federal income tax treatment of a non-U.S. Holder’s exercise of a Warrant will generally correspond to the U.S. federal income tax treatment of the exercise of a Warrant by a U.S. Holder, as described under “— Tax Considerations Applicable to U.S. Holders — Exercise of a Warrant” above, although to the extent a cashless exercise results in a taxable exchange, the tax consequences to the non-U.S. Holder would be the same as those described below under </w:t>
      </w:r>
      <w:r>
        <w:rPr>
          <w:rFonts w:ascii="Arial" w:cs="Arial" w:eastAsia="Arial" w:hAnsi="Arial"/>
          <w:sz w:val="14"/>
          <w:szCs w:val="14"/>
          <w:i w:val="1"/>
          <w:iCs w:val="1"/>
          <w:color w:val="auto"/>
        </w:rPr>
        <w:t>“Tax Considerations Applicable to Non-U.S. Holders — Gain or Loss on Sale, Exchange or Other Taxable</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 of Common Stock and Warrants</w:t>
      </w:r>
      <w:r>
        <w:rPr>
          <w:rFonts w:ascii="Arial" w:cs="Arial" w:eastAsia="Arial" w:hAnsi="Arial"/>
          <w:sz w:val="14"/>
          <w:szCs w:val="14"/>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or Loss on Sale, Taxable Exchange or Other Taxable Disposition of Common Stock and Warrants</w:t>
      </w:r>
    </w:p>
    <w:p>
      <w:pPr>
        <w:spacing w:after="0" w:line="182" w:lineRule="exact"/>
        <w:rPr>
          <w:sz w:val="20"/>
          <w:szCs w:val="20"/>
          <w:color w:val="auto"/>
        </w:rPr>
      </w:pPr>
    </w:p>
    <w:p>
      <w:pPr>
        <w:jc w:val="both"/>
        <w:ind w:right="20" w:firstLine="258"/>
        <w:spacing w:after="0" w:line="286" w:lineRule="auto"/>
        <w:rPr>
          <w:sz w:val="20"/>
          <w:szCs w:val="20"/>
          <w:color w:val="auto"/>
        </w:rPr>
      </w:pPr>
      <w:r>
        <w:rPr>
          <w:rFonts w:ascii="Arial" w:cs="Arial" w:eastAsia="Arial" w:hAnsi="Arial"/>
          <w:sz w:val="14"/>
          <w:szCs w:val="14"/>
          <w:color w:val="auto"/>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spacing w:after="0" w:line="131" w:lineRule="exact"/>
        <w:rPr>
          <w:sz w:val="20"/>
          <w:szCs w:val="20"/>
          <w:color w:val="auto"/>
        </w:rPr>
      </w:pPr>
    </w:p>
    <w:p>
      <w:pPr>
        <w:ind w:left="520" w:hanging="257"/>
        <w:spacing w:after="0" w:line="286"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non-U.S. Holder is an individual who is present in the United States for 183 days or more in the taxable year of disposition and certain other conditions are met; or</w:t>
      </w:r>
    </w:p>
    <w:p>
      <w:pPr>
        <w:spacing w:after="0" w:line="182" w:lineRule="exact"/>
        <w:rPr>
          <w:rFonts w:ascii="Arial" w:cs="Arial" w:eastAsia="Arial" w:hAnsi="Arial"/>
          <w:sz w:val="14"/>
          <w:szCs w:val="14"/>
          <w:color w:val="auto"/>
        </w:rPr>
      </w:pPr>
    </w:p>
    <w:p>
      <w:pPr>
        <w:jc w:val="both"/>
        <w:ind w:left="520" w:hanging="257"/>
        <w:spacing w:after="0" w:line="263"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These rules may be modified as applied to the Warrants. There can be no assurance that our Common Stock will be treated as regularly traded or not regularly traded on an established securities market for this purpose.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6" w:name="page107"/>
    <w:bookmarkEnd w:id="106"/>
    <w:p>
      <w:pPr>
        <w:jc w:val="both"/>
        <w:ind w:firstLine="258"/>
        <w:spacing w:after="0" w:line="266" w:lineRule="auto"/>
        <w:rPr>
          <w:sz w:val="20"/>
          <w:szCs w:val="20"/>
          <w:color w:val="auto"/>
        </w:rPr>
      </w:pPr>
      <w:r>
        <w:rPr>
          <w:rFonts w:ascii="Arial" w:cs="Arial" w:eastAsia="Arial" w:hAnsi="Arial"/>
          <w:sz w:val="14"/>
          <w:szCs w:val="14"/>
          <w:color w:val="auto"/>
        </w:rPr>
        <w:t>Gain described in the first bullet point above will be subject to tax at generally applicable U.S. federal income tax rates as if the non-U.S. Holder were a U.S. resident. Any gains described in the first bullet point above of a non-U.S. Holder that is a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45" w:lineRule="exact"/>
        <w:rPr>
          <w:sz w:val="20"/>
          <w:szCs w:val="20"/>
          <w:color w:val="auto"/>
        </w:rPr>
      </w:pPr>
    </w:p>
    <w:p>
      <w:pPr>
        <w:jc w:val="both"/>
        <w:ind w:firstLine="258"/>
        <w:spacing w:after="0" w:line="285" w:lineRule="auto"/>
        <w:rPr>
          <w:sz w:val="20"/>
          <w:szCs w:val="20"/>
          <w:color w:val="auto"/>
        </w:rPr>
      </w:pPr>
      <w:r>
        <w:rPr>
          <w:rFonts w:ascii="Arial" w:cs="Arial" w:eastAsia="Arial" w:hAnsi="Arial"/>
          <w:sz w:val="13"/>
          <w:szCs w:val="13"/>
          <w:color w:val="auto"/>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Possible Constructive Distributions</w:t>
      </w:r>
    </w:p>
    <w:p>
      <w:pPr>
        <w:spacing w:after="0" w:line="182"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4"/>
          <w:szCs w:val="14"/>
          <w:color w:val="auto"/>
        </w:rPr>
        <w:t>The terms of each Warrant provide for an adjustment to the number of shares of Common Stock for which the Warrant may be exercised or to the exercise price of the Warrant upon the occurrence of certain events, as discussed in the section of this prospectus captioned “</w:t>
      </w:r>
      <w:r>
        <w:rPr>
          <w:rFonts w:ascii="Arial" w:cs="Arial" w:eastAsia="Arial" w:hAnsi="Arial"/>
          <w:sz w:val="14"/>
          <w:szCs w:val="14"/>
          <w:i w:val="1"/>
          <w:iCs w:val="1"/>
          <w:color w:val="auto"/>
        </w:rPr>
        <w:t>Description of our Securities — Warrants</w:t>
      </w:r>
      <w:r>
        <w:rPr>
          <w:rFonts w:ascii="Arial" w:cs="Arial" w:eastAsia="Arial" w:hAnsi="Arial"/>
          <w:sz w:val="14"/>
          <w:szCs w:val="14"/>
          <w:color w:val="auto"/>
        </w:rPr>
        <w:t>.”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 decrease to the exercise price of the Warrant) as a result of a distribution of cash to the holders of shares of our Common Stock which is taxable to such holders as a distribution. A non-U.S. Holder would be subject to U.S. federal income tax withholding as described above under “</w:t>
      </w:r>
      <w:r>
        <w:rPr>
          <w:rFonts w:ascii="Arial" w:cs="Arial" w:eastAsia="Arial" w:hAnsi="Arial"/>
          <w:sz w:val="14"/>
          <w:szCs w:val="14"/>
          <w:i w:val="1"/>
          <w:iCs w:val="1"/>
          <w:color w:val="auto"/>
        </w:rPr>
        <w:t>Tax Considerations Applicable to Non-U.S. Holders — Taxation of Distributions</w:t>
      </w:r>
      <w:r>
        <w:rPr>
          <w:rFonts w:ascii="Arial" w:cs="Arial" w:eastAsia="Arial" w:hAnsi="Arial"/>
          <w:sz w:val="14"/>
          <w:szCs w:val="14"/>
          <w:color w:val="auto"/>
        </w:rPr>
        <w:t>” in the same manner as if such non-U.S. Holder received a cash distribution from us on Common Stock equal to the fair market value of such increased interest. For certain informational reporting purposes, we are required to determine the date and amount of any such constructive distributions and publicly report such information or report such information to the IRS and holders of Warrants not exempt from information reporting. Proposed Treasury Regulations, which taxpayers may generally rely on prior to the issuance of final regulations, specify how the date and amount of constructive distributions are determined.</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Account Tax Compliance Act</w:t>
      </w:r>
    </w:p>
    <w:p>
      <w:pPr>
        <w:spacing w:after="0" w:line="182" w:lineRule="exact"/>
        <w:rPr>
          <w:sz w:val="20"/>
          <w:szCs w:val="20"/>
          <w:color w:val="auto"/>
        </w:rPr>
      </w:pPr>
    </w:p>
    <w:p>
      <w:pPr>
        <w:jc w:val="both"/>
        <w:ind w:firstLine="258"/>
        <w:spacing w:after="0" w:line="279" w:lineRule="auto"/>
        <w:rPr>
          <w:sz w:val="20"/>
          <w:szCs w:val="20"/>
          <w:color w:val="auto"/>
        </w:rPr>
      </w:pPr>
      <w:r>
        <w:rPr>
          <w:rFonts w:ascii="Arial" w:cs="Arial" w:eastAsia="Arial" w:hAnsi="Arial"/>
          <w:sz w:val="13"/>
          <w:szCs w:val="13"/>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182"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Information returns will be filed with the IRS in connection with payments of dividends and the proceeds from a sale or other disposition of our Common Stock or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b w:val="1"/>
          <w:bCs w:val="1"/>
          <w:color w:val="auto"/>
        </w:rPr>
        <w:t>PLAN OF DISTRIBUTION</w:t>
      </w:r>
    </w:p>
    <w:p>
      <w:pPr>
        <w:spacing w:after="0" w:line="186"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We are registering the issuance by us of (i) up to 5,750,000 shares of Common Stock that are issuable upon the exercise of the Public Warrants; and (ii) up to 208,600 shares of Common Stock that are issuable upon the exercise of the Private Placement Warrants.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are also registering the resale by the selling securityholders or their permitted transferees from time to time of up to 14,434,301 shares of Common Stock consisting of up to:</w:t>
      </w:r>
    </w:p>
    <w:p>
      <w:pPr>
        <w:spacing w:after="0" w:line="182" w:lineRule="exact"/>
        <w:rPr>
          <w:sz w:val="20"/>
          <w:szCs w:val="20"/>
          <w:color w:val="auto"/>
        </w:rPr>
      </w:pPr>
    </w:p>
    <w:p>
      <w:pPr>
        <w:ind w:left="1040" w:hanging="262"/>
        <w:spacing w:after="0"/>
        <w:tabs>
          <w:tab w:leader="none" w:pos="10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3,047,825 shares of Common Stock issued in a private placement to the Sponsor prior to the BCYP IPO,</w:t>
      </w:r>
    </w:p>
    <w:p>
      <w:pPr>
        <w:spacing w:after="0" w:line="182" w:lineRule="exact"/>
        <w:rPr>
          <w:rFonts w:ascii="Arial" w:cs="Arial" w:eastAsia="Arial" w:hAnsi="Arial"/>
          <w:sz w:val="14"/>
          <w:szCs w:val="14"/>
          <w:color w:val="auto"/>
        </w:rPr>
      </w:pPr>
    </w:p>
    <w:p>
      <w:pPr>
        <w:ind w:left="1040" w:hanging="262"/>
        <w:spacing w:after="0"/>
        <w:tabs>
          <w:tab w:leader="none" w:pos="10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10,685,978 shares of Common Stock held by our co-founder and member of the Board pursuant to that certain Amended and Restated Registration Rights Agreement,</w:t>
      </w:r>
    </w:p>
    <w:p>
      <w:pPr>
        <w:spacing w:after="0" w:line="193" w:lineRule="exact"/>
        <w:rPr>
          <w:rFonts w:ascii="Arial" w:cs="Arial" w:eastAsia="Arial" w:hAnsi="Arial"/>
          <w:sz w:val="13"/>
          <w:szCs w:val="13"/>
          <w:color w:val="auto"/>
        </w:rPr>
      </w:pPr>
    </w:p>
    <w:p>
      <w:pPr>
        <w:ind w:left="1040" w:hanging="262"/>
        <w:spacing w:after="0"/>
        <w:tabs>
          <w:tab w:leader="none" w:pos="10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491,898 shares of Common Stock issued in private placements to certain advisors to the Company or their employees or designees, and</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  208,600 shares of Common Stock issuable upon exercise of the Private Placement Warrants.</w:t>
      </w:r>
    </w:p>
    <w:p>
      <w:pPr>
        <w:spacing w:after="0" w:line="182"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131" w:lineRule="exact"/>
        <w:rPr>
          <w:sz w:val="20"/>
          <w:szCs w:val="20"/>
          <w:color w:val="auto"/>
        </w:rPr>
      </w:pPr>
    </w:p>
    <w:p>
      <w:pPr>
        <w:jc w:val="both"/>
        <w:ind w:firstLine="258"/>
        <w:spacing w:after="0" w:line="326" w:lineRule="auto"/>
        <w:rPr>
          <w:sz w:val="20"/>
          <w:szCs w:val="20"/>
          <w:color w:val="auto"/>
        </w:rPr>
      </w:pPr>
      <w:r>
        <w:rPr>
          <w:rFonts w:ascii="Arial" w:cs="Arial" w:eastAsia="Arial" w:hAnsi="Arial"/>
          <w:sz w:val="13"/>
          <w:szCs w:val="13"/>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such selling securityholders.</w:t>
      </w:r>
    </w:p>
    <w:p>
      <w:pPr>
        <w:spacing w:after="0" w:line="109"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The shares of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33" w:lineRule="exact"/>
        <w:rPr>
          <w:sz w:val="20"/>
          <w:szCs w:val="20"/>
          <w:color w:val="auto"/>
        </w:rPr>
      </w:pPr>
    </w:p>
    <w:p>
      <w:pPr>
        <w:ind w:left="520" w:hanging="257"/>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purchases by a broker-dealer as principal and resale by such broker-dealer for its own account pursuant to this prospectus;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ordinary brokerage transactions and transactions in which the broker solicits purchasers;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block trades in which the broker-dealer so engaged will attempt to sell the shares as agent but may position and resell a portion of the block as principal to facilitate the transaction;</w:t>
      </w:r>
    </w:p>
    <w:p>
      <w:pPr>
        <w:spacing w:after="0" w:line="193" w:lineRule="exact"/>
        <w:rPr>
          <w:rFonts w:ascii="Arial" w:cs="Arial" w:eastAsia="Arial" w:hAnsi="Arial"/>
          <w:sz w:val="13"/>
          <w:szCs w:val="13"/>
          <w:color w:val="auto"/>
        </w:rPr>
      </w:pPr>
    </w:p>
    <w:p>
      <w:pPr>
        <w:ind w:left="520" w:hanging="257"/>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over-the-counter distribution in accordance with the rules of Nasdaq;</w:t>
      </w:r>
    </w:p>
    <w:p>
      <w:pPr>
        <w:spacing w:after="0" w:line="182" w:lineRule="exact"/>
        <w:rPr>
          <w:rFonts w:ascii="Arial" w:cs="Arial" w:eastAsia="Arial" w:hAnsi="Arial"/>
          <w:sz w:val="14"/>
          <w:szCs w:val="14"/>
          <w:color w:val="auto"/>
        </w:rPr>
      </w:pPr>
    </w:p>
    <w:p>
      <w:pPr>
        <w:ind w:left="520" w:hanging="257"/>
        <w:spacing w:after="0" w:line="286"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8" w:name="page109"/>
    <w:bookmarkEnd w:id="108"/>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short sales;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distribution to employees, members, limited partners or stockholders of the selling securityholders;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through the writing or settlement of options or other hedging transaction, whether through an options exchange or otherwise;</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by pledge to secured debts and other obligations;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delayed delivery arrangements;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 or through underwriters or broker-dealers;</w:t>
      </w:r>
    </w:p>
    <w:p>
      <w:pPr>
        <w:spacing w:after="0" w:line="182" w:lineRule="exact"/>
        <w:rPr>
          <w:rFonts w:ascii="Arial" w:cs="Arial" w:eastAsia="Arial" w:hAnsi="Arial"/>
          <w:sz w:val="14"/>
          <w:szCs w:val="14"/>
          <w:color w:val="auto"/>
        </w:rPr>
      </w:pPr>
    </w:p>
    <w:p>
      <w:pPr>
        <w:ind w:left="520" w:hanging="257"/>
        <w:spacing w:after="0" w:line="326" w:lineRule="auto"/>
        <w:tabs>
          <w:tab w:leader="none" w:pos="5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08" w:lineRule="exact"/>
        <w:rPr>
          <w:rFonts w:ascii="Arial" w:cs="Arial" w:eastAsia="Arial" w:hAnsi="Arial"/>
          <w:sz w:val="13"/>
          <w:szCs w:val="13"/>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privately negotiated transactions;</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options transactions; or</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other method permitted pursuant to applicable law.</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addition, any securities that qualify for sale pursuant to Rule 144 may be sold under Rule 144 rather than pursuant to this prospectus.</w:t>
      </w:r>
    </w:p>
    <w:p>
      <w:pPr>
        <w:spacing w:after="0" w:line="182"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w:t>
      </w:r>
    </w:p>
    <w:p>
      <w:pPr>
        <w:spacing w:after="0" w:line="145" w:lineRule="exact"/>
        <w:rPr>
          <w:sz w:val="20"/>
          <w:szCs w:val="20"/>
          <w:color w:val="auto"/>
        </w:rPr>
      </w:pPr>
    </w:p>
    <w:p>
      <w:pPr>
        <w:jc w:val="both"/>
        <w:ind w:firstLine="258"/>
        <w:spacing w:after="0" w:line="284" w:lineRule="auto"/>
        <w:rPr>
          <w:sz w:val="20"/>
          <w:szCs w:val="20"/>
          <w:color w:val="auto"/>
        </w:rPr>
      </w:pPr>
      <w:r>
        <w:rPr>
          <w:rFonts w:ascii="Arial" w:cs="Arial" w:eastAsia="Arial" w:hAnsi="Arial"/>
          <w:sz w:val="13"/>
          <w:szCs w:val="13"/>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35"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3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4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4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45"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4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45"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We have agreed to indemnify the selling securityholders against certain liabilities, including liabilities under the Securities Act and state securities laws, relating to the registration of the Warrants or shares of Common Stock offered by this prospectus.</w:t>
      </w:r>
    </w:p>
    <w:p>
      <w:pPr>
        <w:spacing w:after="0" w:line="13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We have agreed with the selling securityholders to keep the registration statement of which this prospectus constitutes a part effective until such time as all of the securities covered by this prospectus have been disposed of pursuant to and in accordance with the registration statement or such securities have been withdrawn or, in the case of shares issued pursuant to the Subscription Agreements, until two years from the effective date of this registration statement.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9" w:right="319" w:bottom="1440" w:gutter="0" w:footer="0" w:header="0"/>
        </w:sectPr>
      </w:pPr>
    </w:p>
    <w:bookmarkStart w:id="109" w:name="page110"/>
    <w:bookmarkEnd w:id="109"/>
    <w:p>
      <w:pPr>
        <w:ind w:left="4760"/>
        <w:spacing w:after="0"/>
        <w:rPr>
          <w:sz w:val="20"/>
          <w:szCs w:val="20"/>
          <w:color w:val="auto"/>
        </w:rPr>
      </w:pPr>
      <w:r>
        <w:rPr>
          <w:rFonts w:ascii="Arial" w:cs="Arial" w:eastAsia="Arial" w:hAnsi="Arial"/>
          <w:sz w:val="14"/>
          <w:szCs w:val="14"/>
          <w:b w:val="1"/>
          <w:bCs w:val="1"/>
          <w:color w:val="auto"/>
        </w:rPr>
        <w:t>LEGAL MATTERS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validity of the securities offered hereby will be passed upon for us by Dentons US LLP.</w:t>
      </w:r>
    </w:p>
    <w:p>
      <w:pPr>
        <w:spacing w:after="0" w:line="182"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13335</wp:posOffset>
            </wp:positionV>
            <wp:extent cx="716026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9899"/>
          </w:cols>
          <w:pgMar w:left="560" w:top="575"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4"/>
          <w:szCs w:val="14"/>
          <w:b w:val="1"/>
          <w:bCs w:val="1"/>
          <w:color w:val="auto"/>
        </w:rPr>
        <w:t>EXPERTS</w:t>
      </w:r>
    </w:p>
    <w:p>
      <w:pPr>
        <w:spacing w:after="0" w:line="186"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consolidated financial statements of OLD SAB, as of and for the years ended December 31, 2019 and 2020, included in this prospectus, have been audited by Mayer Hoffman McCann P.C., independent registered public accounting firm, as set forth in their reports, appearing elsewhere herein, and are included in reliance upon such reports given on the authority of such firm as experts in accounting and auditing, in giving said reports.</w:t>
      </w:r>
    </w:p>
    <w:p>
      <w:pPr>
        <w:spacing w:after="0" w:line="141"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financial statements of BCYP as of December 31, 2020 and for the period from November 12, 2020 (inception) to December 31, 2020, included in this prospectus have been audited by Marcum LLP, an independent registered public accounting firm, as set forth in their report appearing elsewhere herein, and are included in reliance upon such report given on the authority of such firm as experts in accounting and auditing.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4"/>
          <w:szCs w:val="14"/>
          <w:b w:val="1"/>
          <w:bCs w:val="1"/>
          <w:color w:val="auto"/>
        </w:rPr>
        <w:t>CHANGES IN REGISTRANT’S CERTIFYING ACCOUNTANT</w:t>
      </w:r>
    </w:p>
    <w:p>
      <w:pPr>
        <w:spacing w:after="0" w:line="186" w:lineRule="exact"/>
        <w:rPr>
          <w:sz w:val="20"/>
          <w:szCs w:val="20"/>
          <w:color w:val="auto"/>
        </w:rPr>
      </w:pPr>
    </w:p>
    <w:p>
      <w:pPr>
        <w:jc w:val="both"/>
        <w:ind w:firstLine="258"/>
        <w:spacing w:after="0" w:line="301" w:lineRule="auto"/>
        <w:rPr>
          <w:sz w:val="20"/>
          <w:szCs w:val="20"/>
          <w:color w:val="auto"/>
        </w:rPr>
      </w:pPr>
      <w:r>
        <w:rPr>
          <w:rFonts w:ascii="Arial" w:cs="Arial" w:eastAsia="Arial" w:hAnsi="Arial"/>
          <w:sz w:val="13"/>
          <w:szCs w:val="13"/>
          <w:color w:val="auto"/>
        </w:rPr>
        <w:t>As previously reported, on October 28, 2021, the Board informed Marcum LLP (“Marcum”), BCYP’s independent registered public accounting firm prior to the Business Combination, that Marcum would be dismissed effective following the completion of the Company’s review for the quarter ended September 30, 2021, which consists only of the pre-Business Combination accounts of BCYP. Marcum was dismissed on November 22, 2021, effective immediately following the filing of the Company’s Quarterly Report on Form 10-Q for the quarter ended September 30, 2021.</w:t>
      </w:r>
    </w:p>
    <w:p>
      <w:pPr>
        <w:spacing w:after="0" w:line="124"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The financial statements of BCYP as of December 31, 2020 and for the period from November 12, 2020 (inception) to December 31, 2020, included in this prospectus have been audited by Marcum LLP, an independent registered public accounting firm, as set forth in their report appearing elsewhere herein, and are included in reliance upon such report given on the authority of such firm as experts in accounting and auditing.</w:t>
      </w:r>
    </w:p>
    <w:p>
      <w:pPr>
        <w:spacing w:after="0" w:line="14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During the period from November 12, 2020 (inception) through December 31, 2020, and the subsequent period through November 22, 2021, there were no disagreements with Marcum on any matter of accounting principles or practices, financial statement disclosure, or auditing scope or procedure, which disagreements, if not resolved to the satisfaction of Marcum, would have caused it to make a reference to the subject matter of the disagreement in connection with its report covering such period. In addition, no “reportable events,” as defined in Item 304(a)(1)(v) of Regulation S-K, occurred within the period of Marcum’s engagement and the subsequent period through November 22, 2021.</w:t>
      </w:r>
    </w:p>
    <w:p>
      <w:pPr>
        <w:spacing w:after="0" w:line="145"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The Company provided Marcum with a copy of the foregoing disclosures prior to the filing of this Current Report and requested that Marcum furnish a letter addressed to the SEC stating, which is attached hereto as Exhibit 16.1, stating whether it agrees with such disclosures, and, if not, stating the respects in which is does not agree.</w:t>
      </w:r>
    </w:p>
    <w:p>
      <w:pPr>
        <w:spacing w:after="0" w:line="131"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On October 28, 2021, the audit committee appointed Mayer Hoffman McCann P.C. (“MHM”) as the Company’s independent registered public accounting firm to audit the Company’s consolidated financial statements for the year ending December 31, 2021, effective following Marcum’s completion of its review of the Company’s financial statements for the third quarter of 2021. MHM audited the consolidated balance sheets of OLD SAB as of December 31, 2020 and 2019, and the related consolidated statements of operations, changes in redeemable preferred stock and stockholders’ equity (deficit), and cash flows for the years ended December 31, 2020 and December 31, 2019 prior to the merger.</w:t>
      </w:r>
    </w:p>
    <w:p>
      <w:pPr>
        <w:spacing w:after="0" w:line="14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During the years ended December 31, 2020 and 2019 and the subsequent interim periods, neither the Company nor anyone on its behalf consulted with MHM regarding (i) the application of accounting principles to a specified transaction, either completed or proposed, or the type of audit opinion that might be rendered on the Company’s financial statements, and no written report or oral advice was provided to the Company that MHM concluded was an important factor considered by the Company in reaching a decision as to any accounting, auditing or financial reporting issue, or (ii) any matter that was the subject of a disagreement within the meaning of Item 304(a)(1)(iv) of Regulation S-K or any reportable event within the meaning of Item 304(a)(1)(v) of Regulation S-K.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6"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the Company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Arial" w:cs="Arial" w:eastAsia="Arial" w:hAnsi="Arial"/>
          <w:sz w:val="13"/>
          <w:szCs w:val="13"/>
          <w:i w:val="1"/>
          <w:iCs w:val="1"/>
          <w:color w:val="auto"/>
        </w:rPr>
        <w:t>www.sec.gov</w:t>
      </w:r>
      <w:r>
        <w:rPr>
          <w:rFonts w:ascii="Arial" w:cs="Arial" w:eastAsia="Arial" w:hAnsi="Arial"/>
          <w:sz w:val="13"/>
          <w:szCs w:val="13"/>
          <w:color w:val="auto"/>
        </w:rPr>
        <w:t>.</w:t>
      </w:r>
    </w:p>
    <w:p>
      <w:pPr>
        <w:spacing w:after="0" w:line="133"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 xml:space="preserve">We are subject to the information reporting requirements of the Exchange Act, and we file reports, proxy statements and other information with the SEC. These reports, proxy statements and other information will be available for review at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We also maintain a website at </w:t>
      </w:r>
      <w:r>
        <w:rPr>
          <w:rFonts w:ascii="Arial" w:cs="Arial" w:eastAsia="Arial" w:hAnsi="Arial"/>
          <w:sz w:val="14"/>
          <w:szCs w:val="14"/>
          <w:i w:val="1"/>
          <w:iCs w:val="1"/>
          <w:color w:val="auto"/>
        </w:rPr>
        <w:t>www.sabbiotherapeutics.com</w:t>
      </w:r>
      <w:r>
        <w:rPr>
          <w:rFonts w:ascii="Arial" w:cs="Arial" w:eastAsia="Arial" w:hAnsi="Arial"/>
          <w:sz w:val="14"/>
          <w:szCs w:val="14"/>
          <w:color w:val="auto"/>
        </w:rPr>
        <w:t>,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0" w:type="dxa"/>
            <w:vAlign w:val="bottom"/>
            <w:gridSpan w:val="11"/>
          </w:tcPr>
          <w:p>
            <w:pPr>
              <w:jc w:val="center"/>
              <w:ind w:right="2900"/>
              <w:spacing w:after="0"/>
              <w:rPr>
                <w:sz w:val="20"/>
                <w:szCs w:val="20"/>
                <w:color w:val="auto"/>
              </w:rPr>
            </w:pPr>
            <w:r>
              <w:rPr>
                <w:rFonts w:ascii="Arial" w:cs="Arial" w:eastAsia="Arial" w:hAnsi="Arial"/>
                <w:sz w:val="14"/>
                <w:szCs w:val="14"/>
                <w:b w:val="1"/>
                <w:bCs w:val="1"/>
                <w:color w:val="auto"/>
              </w:rPr>
              <w:t>INDEX TO FINANCIAL STATEMENTS</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0" w:type="dxa"/>
            <w:vAlign w:val="bottom"/>
            <w:gridSpan w:val="11"/>
          </w:tcPr>
          <w:p>
            <w:pPr>
              <w:jc w:val="center"/>
              <w:ind w:right="2920"/>
              <w:spacing w:after="0"/>
              <w:rPr>
                <w:sz w:val="20"/>
                <w:szCs w:val="20"/>
                <w:color w:val="auto"/>
              </w:rPr>
            </w:pPr>
            <w:r>
              <w:rPr>
                <w:rFonts w:ascii="Arial" w:cs="Arial" w:eastAsia="Arial" w:hAnsi="Arial"/>
                <w:sz w:val="14"/>
                <w:szCs w:val="14"/>
                <w:b w:val="1"/>
                <w:bCs w:val="1"/>
                <w:color w:val="auto"/>
              </w:rPr>
              <w:t>SAB BIOTHERAPEUTICS FINANCIAL STATEMENTS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0" w:type="dxa"/>
            <w:vAlign w:val="bottom"/>
            <w:gridSpan w:val="11"/>
          </w:tcPr>
          <w:p>
            <w:pPr>
              <w:jc w:val="center"/>
              <w:ind w:right="2900"/>
              <w:spacing w:after="0"/>
              <w:rPr>
                <w:sz w:val="20"/>
                <w:szCs w:val="20"/>
                <w:color w:val="auto"/>
              </w:rPr>
            </w:pPr>
            <w:r>
              <w:rPr>
                <w:rFonts w:ascii="Arial" w:cs="Arial" w:eastAsia="Arial" w:hAnsi="Arial"/>
                <w:sz w:val="14"/>
                <w:szCs w:val="14"/>
                <w:b w:val="1"/>
                <w:bCs w:val="1"/>
                <w:color w:val="auto"/>
              </w:rPr>
              <w:t>BIG CYPRESS ACQUISITION CORP.</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80" w:type="dxa"/>
            <w:vAlign w:val="bottom"/>
            <w:gridSpan w:val="18"/>
            <w:shd w:val="clear" w:color="auto" w:fill="CCEEFF"/>
          </w:tcPr>
          <w:p>
            <w:pPr>
              <w:spacing w:after="0"/>
              <w:rPr>
                <w:sz w:val="20"/>
                <w:szCs w:val="20"/>
                <w:color w:val="auto"/>
              </w:rPr>
            </w:pPr>
            <w:r>
              <w:rPr>
                <w:rFonts w:ascii="Arial" w:cs="Arial" w:eastAsia="Arial" w:hAnsi="Arial"/>
                <w:sz w:val="14"/>
                <w:szCs w:val="14"/>
                <w:b w:val="1"/>
                <w:bCs w:val="1"/>
                <w:color w:val="auto"/>
              </w:rPr>
              <w:t>Unaudited Financial Statements:</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15">
              <w:r>
                <w:rPr>
                  <w:rFonts w:ascii="Arial" w:cs="Arial" w:eastAsia="Arial" w:hAnsi="Arial"/>
                  <w:sz w:val="14"/>
                  <w:szCs w:val="14"/>
                  <w:color w:val="0000EE"/>
                </w:rPr>
                <w:t>Consolidated Balance Sheets as of September 30, 2021 (Unaudited) and December 31, 2020</w:t>
              </w:r>
            </w:hyperlink>
          </w:p>
        </w:tc>
        <w:tc>
          <w:tcPr>
            <w:tcW w:w="26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5"/>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480" w:type="dxa"/>
            <w:vAlign w:val="bottom"/>
            <w:gridSpan w:val="18"/>
            <w:shd w:val="clear" w:color="auto" w:fill="CCEEFF"/>
          </w:tcPr>
          <w:p>
            <w:pPr>
              <w:spacing w:after="0" w:line="152" w:lineRule="exact"/>
              <w:rPr>
                <w:rFonts w:ascii="Arial" w:cs="Arial" w:eastAsia="Arial" w:hAnsi="Arial"/>
                <w:sz w:val="14"/>
                <w:szCs w:val="14"/>
                <w:color w:val="0000EE"/>
              </w:rPr>
            </w:pPr>
            <w:hyperlink w:anchor="page116">
              <w:r>
                <w:rPr>
                  <w:rFonts w:ascii="Arial" w:cs="Arial" w:eastAsia="Arial" w:hAnsi="Arial"/>
                  <w:sz w:val="14"/>
                  <w:szCs w:val="14"/>
                  <w:color w:val="0000EE"/>
                </w:rPr>
                <w:t>Consolidated Statements of Operations for the three and nine months ended September 30, 2021 (Unaudited)</w:t>
              </w:r>
            </w:hyperlink>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5"/>
              </w:rPr>
              <w:t>F-3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17">
              <w:r>
                <w:rPr>
                  <w:rFonts w:ascii="Arial" w:cs="Arial" w:eastAsia="Arial" w:hAnsi="Arial"/>
                  <w:sz w:val="14"/>
                  <w:szCs w:val="14"/>
                  <w:color w:val="0000EE"/>
                </w:rPr>
                <w:t>Consolidated Statements of Changes in Stockholders’ Equity for the three and nine months ended September 30, 2021 (Unaudited)</w:t>
              </w:r>
            </w:hyperlink>
          </w:p>
        </w:tc>
        <w:tc>
          <w:tcPr>
            <w:tcW w:w="26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5"/>
              </w:rPr>
              <w:t>F-4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80" w:type="dxa"/>
            <w:vAlign w:val="bottom"/>
            <w:tcBorders>
              <w:top w:val="single" w:sz="8" w:color="0000EE"/>
            </w:tcBorders>
            <w:gridSpan w:val="15"/>
            <w:shd w:val="clear" w:color="auto" w:fill="CCEEFF"/>
          </w:tcPr>
          <w:p>
            <w:pPr>
              <w:spacing w:after="0" w:line="152" w:lineRule="exact"/>
              <w:rPr>
                <w:rFonts w:ascii="Arial" w:cs="Arial" w:eastAsia="Arial" w:hAnsi="Arial"/>
                <w:sz w:val="14"/>
                <w:szCs w:val="14"/>
                <w:color w:val="0000EE"/>
              </w:rPr>
            </w:pPr>
            <w:hyperlink w:anchor="page118">
              <w:r>
                <w:rPr>
                  <w:rFonts w:ascii="Arial" w:cs="Arial" w:eastAsia="Arial" w:hAnsi="Arial"/>
                  <w:sz w:val="14"/>
                  <w:szCs w:val="14"/>
                  <w:color w:val="0000EE"/>
                </w:rPr>
                <w:t>Consolidated Statements of Cash Flows for the nine months ended September 30, 2021 (Unaudited)</w:t>
              </w:r>
            </w:hyperlink>
          </w:p>
        </w:tc>
        <w:tc>
          <w:tcPr>
            <w:tcW w:w="3000" w:type="dxa"/>
            <w:vAlign w:val="bottom"/>
            <w:gridSpan w:val="3"/>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5"/>
              </w:rPr>
              <w:t>F-5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00" w:type="dxa"/>
            <w:vAlign w:val="bottom"/>
            <w:tcBorders>
              <w:top w:val="single" w:sz="8" w:color="0000EE"/>
            </w:tcBorders>
            <w:gridSpan w:val="11"/>
          </w:tcPr>
          <w:p>
            <w:pPr>
              <w:spacing w:after="0" w:line="139" w:lineRule="exact"/>
              <w:rPr>
                <w:rFonts w:ascii="Arial" w:cs="Arial" w:eastAsia="Arial" w:hAnsi="Arial"/>
                <w:sz w:val="14"/>
                <w:szCs w:val="14"/>
                <w:color w:val="0000EE"/>
              </w:rPr>
            </w:pPr>
            <w:hyperlink w:anchor="page119">
              <w:r>
                <w:rPr>
                  <w:rFonts w:ascii="Arial" w:cs="Arial" w:eastAsia="Arial" w:hAnsi="Arial"/>
                  <w:sz w:val="14"/>
                  <w:szCs w:val="14"/>
                  <w:color w:val="0000EE"/>
                </w:rPr>
                <w:t>Notes to Unaudited Consolidated Financial Statements</w:t>
              </w:r>
            </w:hyperlink>
          </w:p>
        </w:tc>
        <w:tc>
          <w:tcPr>
            <w:tcW w:w="4780" w:type="dxa"/>
            <w:vAlign w:val="bottom"/>
            <w:tcBorders>
              <w:top w:val="single" w:sz="8" w:color="CCEEFF"/>
            </w:tcBorders>
            <w:gridSpan w:val="7"/>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95"/>
              </w:rPr>
              <w:t>F-6</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6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640" w:type="dxa"/>
            <w:vAlign w:val="bottom"/>
            <w:tcBorders>
              <w:top w:val="single" w:sz="8" w:color="0000EE"/>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80" w:type="dxa"/>
            <w:vAlign w:val="bottom"/>
            <w:gridSpan w:val="18"/>
          </w:tcPr>
          <w:p>
            <w:pPr>
              <w:spacing w:after="0"/>
              <w:rPr>
                <w:sz w:val="20"/>
                <w:szCs w:val="20"/>
                <w:color w:val="auto"/>
              </w:rPr>
            </w:pPr>
            <w:r>
              <w:rPr>
                <w:rFonts w:ascii="Arial" w:cs="Arial" w:eastAsia="Arial" w:hAnsi="Arial"/>
                <w:sz w:val="14"/>
                <w:szCs w:val="14"/>
                <w:b w:val="1"/>
                <w:bCs w:val="1"/>
                <w:color w:val="auto"/>
              </w:rPr>
              <w:t>Audited Financial Statements: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40" w:type="dxa"/>
            <w:vAlign w:val="bottom"/>
            <w:tcBorders>
              <w:bottom w:val="single" w:sz="8" w:color="0000EE"/>
            </w:tcBorders>
            <w:gridSpan w:val="6"/>
            <w:shd w:val="clear" w:color="auto" w:fill="CCEEFF"/>
          </w:tcPr>
          <w:p>
            <w:pPr>
              <w:spacing w:after="0" w:line="139" w:lineRule="exact"/>
              <w:rPr>
                <w:rFonts w:ascii="Arial" w:cs="Arial" w:eastAsia="Arial" w:hAnsi="Arial"/>
                <w:sz w:val="14"/>
                <w:szCs w:val="14"/>
                <w:color w:val="0000EE"/>
                <w:w w:val="92"/>
              </w:rPr>
            </w:pPr>
            <w:hyperlink w:anchor="page131">
              <w:r>
                <w:rPr>
                  <w:rFonts w:ascii="Arial" w:cs="Arial" w:eastAsia="Arial" w:hAnsi="Arial"/>
                  <w:sz w:val="14"/>
                  <w:szCs w:val="14"/>
                  <w:color w:val="0000EE"/>
                  <w:w w:val="92"/>
                </w:rPr>
                <w:t>Report of Independent Registered Public Accounting Firm</w:t>
              </w:r>
            </w:hyperlink>
          </w:p>
        </w:tc>
        <w:tc>
          <w:tcPr>
            <w:tcW w:w="7140" w:type="dxa"/>
            <w:vAlign w:val="bottom"/>
            <w:tcBorders>
              <w:bottom w:val="single" w:sz="8" w:color="CCEEFF"/>
            </w:tcBorders>
            <w:gridSpan w:val="12"/>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F-18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32">
              <w:r>
                <w:rPr>
                  <w:rFonts w:ascii="Arial" w:cs="Arial" w:eastAsia="Arial" w:hAnsi="Arial"/>
                  <w:sz w:val="14"/>
                  <w:szCs w:val="14"/>
                  <w:color w:val="0000EE"/>
                </w:rPr>
                <w:t>Balance Sheet as of December 31, 2020</w:t>
              </w:r>
            </w:hyperlink>
          </w:p>
        </w:tc>
        <w:tc>
          <w:tcPr>
            <w:tcW w:w="26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7"/>
              </w:rPr>
              <w:t>F-19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480" w:type="dxa"/>
            <w:vAlign w:val="bottom"/>
            <w:gridSpan w:val="18"/>
            <w:shd w:val="clear" w:color="auto" w:fill="CCEEFF"/>
          </w:tcPr>
          <w:p>
            <w:pPr>
              <w:spacing w:after="0" w:line="152" w:lineRule="exact"/>
              <w:rPr>
                <w:rFonts w:ascii="Arial" w:cs="Arial" w:eastAsia="Arial" w:hAnsi="Arial"/>
                <w:sz w:val="14"/>
                <w:szCs w:val="14"/>
                <w:color w:val="0000EE"/>
              </w:rPr>
            </w:pPr>
            <w:hyperlink w:anchor="page133">
              <w:r>
                <w:rPr>
                  <w:rFonts w:ascii="Arial" w:cs="Arial" w:eastAsia="Arial" w:hAnsi="Arial"/>
                  <w:sz w:val="14"/>
                  <w:szCs w:val="14"/>
                  <w:color w:val="0000EE"/>
                </w:rPr>
                <w:t>Statement of Operations for the period from November 12, 2020 (inception) through December 31, 2020</w:t>
              </w:r>
            </w:hyperlink>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7"/>
              </w:rPr>
              <w:t>F-20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34">
              <w:r>
                <w:rPr>
                  <w:rFonts w:ascii="Arial" w:cs="Arial" w:eastAsia="Arial" w:hAnsi="Arial"/>
                  <w:sz w:val="14"/>
                  <w:szCs w:val="14"/>
                  <w:color w:val="0000EE"/>
                </w:rPr>
                <w:t>Statement of Changes in Stockholders’ Equity for the period from November 12, 2020 (inception) through December 31, 2020</w:t>
              </w:r>
            </w:hyperlink>
          </w:p>
        </w:tc>
        <w:tc>
          <w:tcPr>
            <w:tcW w:w="26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7"/>
              </w:rPr>
              <w:t>F-21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40" w:type="dxa"/>
            <w:vAlign w:val="bottom"/>
            <w:tcBorders>
              <w:top w:val="single" w:sz="8" w:color="0000EE"/>
            </w:tcBorders>
            <w:gridSpan w:val="14"/>
            <w:shd w:val="clear" w:color="auto" w:fill="CCEEFF"/>
          </w:tcPr>
          <w:p>
            <w:pPr>
              <w:spacing w:after="0" w:line="152" w:lineRule="exact"/>
              <w:rPr>
                <w:rFonts w:ascii="Arial" w:cs="Arial" w:eastAsia="Arial" w:hAnsi="Arial"/>
                <w:sz w:val="14"/>
                <w:szCs w:val="14"/>
                <w:color w:val="0000EE"/>
              </w:rPr>
            </w:pPr>
            <w:hyperlink w:anchor="page135">
              <w:r>
                <w:rPr>
                  <w:rFonts w:ascii="Arial" w:cs="Arial" w:eastAsia="Arial" w:hAnsi="Arial"/>
                  <w:sz w:val="14"/>
                  <w:szCs w:val="14"/>
                  <w:color w:val="0000EE"/>
                </w:rPr>
                <w:t>Statement of Cash Flows for the period from November 12, 2020 (inception) through December 31, 2020</w:t>
              </w:r>
            </w:hyperlink>
          </w:p>
        </w:tc>
        <w:tc>
          <w:tcPr>
            <w:tcW w:w="3240" w:type="dxa"/>
            <w:vAlign w:val="bottom"/>
            <w:gridSpan w:val="4"/>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w w:val="97"/>
              </w:rPr>
              <w:t>F-22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20" w:type="dxa"/>
            <w:vAlign w:val="bottom"/>
            <w:tcBorders>
              <w:top w:val="single" w:sz="8" w:color="0000EE"/>
            </w:tcBorders>
            <w:gridSpan w:val="12"/>
          </w:tcPr>
          <w:p>
            <w:pPr>
              <w:spacing w:after="0" w:line="139" w:lineRule="exact"/>
              <w:rPr>
                <w:rFonts w:ascii="Arial" w:cs="Arial" w:eastAsia="Arial" w:hAnsi="Arial"/>
                <w:sz w:val="14"/>
                <w:szCs w:val="14"/>
                <w:color w:val="0000EE"/>
              </w:rPr>
            </w:pPr>
            <w:hyperlink w:anchor="page136">
              <w:r>
                <w:rPr>
                  <w:rFonts w:ascii="Arial" w:cs="Arial" w:eastAsia="Arial" w:hAnsi="Arial"/>
                  <w:sz w:val="14"/>
                  <w:szCs w:val="14"/>
                  <w:color w:val="0000EE"/>
                </w:rPr>
                <w:t>Notes to Financial Statements</w:t>
              </w:r>
            </w:hyperlink>
          </w:p>
        </w:tc>
        <w:tc>
          <w:tcPr>
            <w:tcW w:w="4460" w:type="dxa"/>
            <w:vAlign w:val="bottom"/>
            <w:tcBorders>
              <w:top w:val="single" w:sz="8" w:color="CCEEFF"/>
            </w:tcBorders>
            <w:gridSpan w:val="6"/>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97"/>
              </w:rPr>
              <w:t>F-23</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0" w:type="dxa"/>
            <w:vAlign w:val="bottom"/>
            <w:gridSpan w:val="11"/>
          </w:tcPr>
          <w:p>
            <w:pPr>
              <w:jc w:val="center"/>
              <w:ind w:right="2920"/>
              <w:spacing w:after="0"/>
              <w:rPr>
                <w:sz w:val="20"/>
                <w:szCs w:val="20"/>
                <w:color w:val="auto"/>
              </w:rPr>
            </w:pPr>
            <w:r>
              <w:rPr>
                <w:rFonts w:ascii="Arial" w:cs="Arial" w:eastAsia="Arial" w:hAnsi="Arial"/>
                <w:sz w:val="14"/>
                <w:szCs w:val="14"/>
                <w:b w:val="1"/>
                <w:bCs w:val="1"/>
                <w:color w:val="auto"/>
              </w:rPr>
              <w:t>SAB BIOTHERAPEUTICS, INC.</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80" w:type="dxa"/>
            <w:vAlign w:val="bottom"/>
            <w:gridSpan w:val="18"/>
            <w:shd w:val="clear" w:color="auto" w:fill="CCEEFF"/>
          </w:tcPr>
          <w:p>
            <w:pPr>
              <w:spacing w:after="0"/>
              <w:rPr>
                <w:sz w:val="20"/>
                <w:szCs w:val="20"/>
                <w:color w:val="auto"/>
              </w:rPr>
            </w:pPr>
            <w:r>
              <w:rPr>
                <w:rFonts w:ascii="Arial" w:cs="Arial" w:eastAsia="Arial" w:hAnsi="Arial"/>
                <w:sz w:val="14"/>
                <w:szCs w:val="14"/>
                <w:b w:val="1"/>
                <w:bCs w:val="1"/>
                <w:color w:val="auto"/>
              </w:rPr>
              <w:t>Unaudited Financial Statements:</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44">
              <w:r>
                <w:rPr>
                  <w:rFonts w:ascii="Arial" w:cs="Arial" w:eastAsia="Arial" w:hAnsi="Arial"/>
                  <w:sz w:val="14"/>
                  <w:szCs w:val="14"/>
                  <w:color w:val="0000EE"/>
                </w:rPr>
                <w:t>Consolidated Balance Sheets as of September 30, 2021 (Unaudited) and December 31, 2020</w:t>
              </w:r>
            </w:hyperlink>
          </w:p>
        </w:tc>
        <w:tc>
          <w:tcPr>
            <w:tcW w:w="780" w:type="dxa"/>
            <w:vAlign w:val="bottom"/>
            <w:gridSpan w:val="2"/>
          </w:tcPr>
          <w:p>
            <w:pPr>
              <w:jc w:val="center"/>
              <w:spacing w:after="0" w:line="139" w:lineRule="exact"/>
              <w:rPr>
                <w:sz w:val="20"/>
                <w:szCs w:val="20"/>
                <w:color w:val="auto"/>
              </w:rPr>
            </w:pPr>
            <w:r>
              <w:rPr>
                <w:rFonts w:ascii="Arial" w:cs="Arial" w:eastAsia="Arial" w:hAnsi="Arial"/>
                <w:sz w:val="14"/>
                <w:szCs w:val="14"/>
                <w:color w:val="auto"/>
                <w:w w:val="97"/>
              </w:rPr>
              <w:t>F-31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0480" w:type="dxa"/>
            <w:vAlign w:val="bottom"/>
            <w:gridSpan w:val="18"/>
            <w:shd w:val="clear" w:color="auto" w:fill="CCEEFF"/>
          </w:tcPr>
          <w:p>
            <w:pPr>
              <w:spacing w:after="0" w:line="152" w:lineRule="exact"/>
              <w:rPr>
                <w:rFonts w:ascii="Arial" w:cs="Arial" w:eastAsia="Arial" w:hAnsi="Arial"/>
                <w:sz w:val="14"/>
                <w:szCs w:val="14"/>
                <w:color w:val="0000EE"/>
              </w:rPr>
            </w:pPr>
            <w:hyperlink w:anchor="page145">
              <w:r>
                <w:rPr>
                  <w:rFonts w:ascii="Arial" w:cs="Arial" w:eastAsia="Arial" w:hAnsi="Arial"/>
                  <w:sz w:val="14"/>
                  <w:szCs w:val="14"/>
                  <w:color w:val="0000EE"/>
                </w:rPr>
                <w:t>Consolidated Statement of Operations for the nine months ended September 30, 2021 and 2020 (Unaudited)</w:t>
              </w:r>
            </w:hyperlink>
          </w:p>
        </w:tc>
        <w:tc>
          <w:tcPr>
            <w:tcW w:w="780" w:type="dxa"/>
            <w:vAlign w:val="bottom"/>
            <w:gridSpan w:val="2"/>
            <w:shd w:val="clear" w:color="auto" w:fill="CCEEFF"/>
          </w:tcPr>
          <w:p>
            <w:pPr>
              <w:jc w:val="center"/>
              <w:spacing w:after="0" w:line="152" w:lineRule="exact"/>
              <w:rPr>
                <w:sz w:val="20"/>
                <w:szCs w:val="20"/>
                <w:color w:val="auto"/>
              </w:rPr>
            </w:pPr>
            <w:r>
              <w:rPr>
                <w:rFonts w:ascii="Arial" w:cs="Arial" w:eastAsia="Arial" w:hAnsi="Arial"/>
                <w:sz w:val="14"/>
                <w:szCs w:val="14"/>
                <w:color w:val="auto"/>
                <w:w w:val="97"/>
              </w:rPr>
              <w:t>F-32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0480" w:type="dxa"/>
            <w:vAlign w:val="bottom"/>
            <w:gridSpan w:val="18"/>
          </w:tcPr>
          <w:p>
            <w:pPr>
              <w:spacing w:after="0" w:line="139" w:lineRule="exact"/>
              <w:rPr>
                <w:rFonts w:ascii="Arial" w:cs="Arial" w:eastAsia="Arial" w:hAnsi="Arial"/>
                <w:sz w:val="14"/>
                <w:szCs w:val="14"/>
                <w:color w:val="0000EE"/>
              </w:rPr>
            </w:pPr>
            <w:hyperlink w:anchor="page146">
              <w:r>
                <w:rPr>
                  <w:rFonts w:ascii="Arial" w:cs="Arial" w:eastAsia="Arial" w:hAnsi="Arial"/>
                  <w:sz w:val="14"/>
                  <w:szCs w:val="14"/>
                  <w:color w:val="0000EE"/>
                </w:rPr>
                <w:t>Consolidated Statement of Changes in Redeemable Preferred Stock and Stockholders’ Equity for the nine months ended September 30, 2021 and 2020 (Unaudited)</w:t>
              </w:r>
            </w:hyperlink>
          </w:p>
        </w:tc>
        <w:tc>
          <w:tcPr>
            <w:tcW w:w="780" w:type="dxa"/>
            <w:vAlign w:val="bottom"/>
            <w:gridSpan w:val="2"/>
          </w:tcPr>
          <w:p>
            <w:pPr>
              <w:jc w:val="center"/>
              <w:spacing w:after="0" w:line="139" w:lineRule="exact"/>
              <w:rPr>
                <w:sz w:val="20"/>
                <w:szCs w:val="20"/>
                <w:color w:val="auto"/>
              </w:rPr>
            </w:pPr>
            <w:r>
              <w:rPr>
                <w:rFonts w:ascii="Arial" w:cs="Arial" w:eastAsia="Arial" w:hAnsi="Arial"/>
                <w:sz w:val="14"/>
                <w:szCs w:val="14"/>
                <w:color w:val="auto"/>
                <w:w w:val="97"/>
              </w:rPr>
              <w:t>F-33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340" w:type="dxa"/>
            <w:vAlign w:val="bottom"/>
            <w:tcBorders>
              <w:top w:val="single" w:sz="8" w:color="0000EE"/>
            </w:tcBorders>
            <w:gridSpan w:val="17"/>
            <w:shd w:val="clear" w:color="auto" w:fill="CCEEFF"/>
          </w:tcPr>
          <w:p>
            <w:pPr>
              <w:spacing w:after="0" w:line="152" w:lineRule="exact"/>
              <w:rPr>
                <w:rFonts w:ascii="Arial" w:cs="Arial" w:eastAsia="Arial" w:hAnsi="Arial"/>
                <w:sz w:val="14"/>
                <w:szCs w:val="14"/>
                <w:color w:val="0000EE"/>
              </w:rPr>
            </w:pPr>
            <w:hyperlink w:anchor="page147">
              <w:r>
                <w:rPr>
                  <w:rFonts w:ascii="Arial" w:cs="Arial" w:eastAsia="Arial" w:hAnsi="Arial"/>
                  <w:sz w:val="14"/>
                  <w:szCs w:val="14"/>
                  <w:color w:val="0000EE"/>
                </w:rPr>
                <w:t>Consolidated Statement of Cash Flows for nine months ended September 30, 2021 and 2020 (Unaudited)</w:t>
              </w:r>
            </w:hyperlink>
          </w:p>
        </w:tc>
        <w:tc>
          <w:tcPr>
            <w:tcW w:w="1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spacing w:after="0" w:line="152" w:lineRule="exact"/>
              <w:rPr>
                <w:sz w:val="20"/>
                <w:szCs w:val="20"/>
                <w:color w:val="auto"/>
              </w:rPr>
            </w:pPr>
            <w:r>
              <w:rPr>
                <w:rFonts w:ascii="Arial" w:cs="Arial" w:eastAsia="Arial" w:hAnsi="Arial"/>
                <w:sz w:val="14"/>
                <w:szCs w:val="14"/>
                <w:color w:val="auto"/>
                <w:w w:val="97"/>
              </w:rPr>
              <w:t>F-34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20" w:type="dxa"/>
            <w:vAlign w:val="bottom"/>
            <w:tcBorders>
              <w:top w:val="single" w:sz="8" w:color="0000EE"/>
            </w:tcBorders>
            <w:gridSpan w:val="12"/>
          </w:tcPr>
          <w:p>
            <w:pPr>
              <w:spacing w:after="0" w:line="139" w:lineRule="exact"/>
              <w:rPr>
                <w:rFonts w:ascii="Arial" w:cs="Arial" w:eastAsia="Arial" w:hAnsi="Arial"/>
                <w:sz w:val="14"/>
                <w:szCs w:val="14"/>
                <w:color w:val="0000EE"/>
              </w:rPr>
            </w:pPr>
            <w:hyperlink w:anchor="page148">
              <w:r>
                <w:rPr>
                  <w:rFonts w:ascii="Arial" w:cs="Arial" w:eastAsia="Arial" w:hAnsi="Arial"/>
                  <w:sz w:val="14"/>
                  <w:szCs w:val="14"/>
                  <w:color w:val="0000EE"/>
                </w:rPr>
                <w:t>Notes to Unaudited Consolidated Financial Statements</w:t>
              </w:r>
            </w:hyperlink>
          </w:p>
        </w:tc>
        <w:tc>
          <w:tcPr>
            <w:tcW w:w="4460" w:type="dxa"/>
            <w:vAlign w:val="bottom"/>
            <w:tcBorders>
              <w:top w:val="single" w:sz="8" w:color="CCEEFF"/>
            </w:tcBorders>
            <w:gridSpan w:val="6"/>
          </w:tcPr>
          <w:p>
            <w:pPr>
              <w:spacing w:after="0"/>
              <w:rPr>
                <w:sz w:val="12"/>
                <w:szCs w:val="12"/>
                <w:color w:val="auto"/>
              </w:rPr>
            </w:pPr>
          </w:p>
        </w:tc>
        <w:tc>
          <w:tcPr>
            <w:tcW w:w="780" w:type="dxa"/>
            <w:vAlign w:val="bottom"/>
            <w:tcBorders>
              <w:top w:val="single" w:sz="8" w:color="CCEEFF"/>
            </w:tcBorders>
            <w:gridSpan w:val="2"/>
          </w:tcPr>
          <w:p>
            <w:pPr>
              <w:jc w:val="center"/>
              <w:spacing w:after="0" w:line="139" w:lineRule="exact"/>
              <w:rPr>
                <w:sz w:val="20"/>
                <w:szCs w:val="20"/>
                <w:color w:val="auto"/>
              </w:rPr>
            </w:pPr>
            <w:r>
              <w:rPr>
                <w:rFonts w:ascii="Arial" w:cs="Arial" w:eastAsia="Arial" w:hAnsi="Arial"/>
                <w:sz w:val="14"/>
                <w:szCs w:val="14"/>
                <w:color w:val="auto"/>
                <w:w w:val="97"/>
              </w:rPr>
              <w:t>F-35</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6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640" w:type="dxa"/>
            <w:vAlign w:val="bottom"/>
            <w:tcBorders>
              <w:top w:val="single" w:sz="8" w:color="0000EE"/>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480" w:type="dxa"/>
            <w:vAlign w:val="bottom"/>
            <w:gridSpan w:val="18"/>
          </w:tcPr>
          <w:p>
            <w:pPr>
              <w:spacing w:after="0"/>
              <w:rPr>
                <w:sz w:val="20"/>
                <w:szCs w:val="20"/>
                <w:color w:val="auto"/>
              </w:rPr>
            </w:pPr>
            <w:r>
              <w:rPr>
                <w:rFonts w:ascii="Arial" w:cs="Arial" w:eastAsia="Arial" w:hAnsi="Arial"/>
                <w:sz w:val="14"/>
                <w:szCs w:val="14"/>
                <w:b w:val="1"/>
                <w:bCs w:val="1"/>
                <w:color w:val="auto"/>
              </w:rPr>
              <w:t>Audited Financial Statements: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60" w:type="dxa"/>
            <w:vAlign w:val="bottom"/>
            <w:tcBorders>
              <w:bottom w:val="single" w:sz="8" w:color="0000EE"/>
            </w:tcBorders>
            <w:shd w:val="clear" w:color="auto" w:fill="CCEEFF"/>
          </w:tcPr>
          <w:p>
            <w:pPr>
              <w:spacing w:after="0" w:line="139" w:lineRule="exact"/>
              <w:rPr>
                <w:rFonts w:ascii="Arial" w:cs="Arial" w:eastAsia="Arial" w:hAnsi="Arial"/>
                <w:sz w:val="14"/>
                <w:szCs w:val="14"/>
                <w:color w:val="0000EE"/>
                <w:w w:val="92"/>
              </w:rPr>
            </w:pPr>
            <w:hyperlink w:anchor="page157">
              <w:r>
                <w:rPr>
                  <w:rFonts w:ascii="Arial" w:cs="Arial" w:eastAsia="Arial" w:hAnsi="Arial"/>
                  <w:sz w:val="14"/>
                  <w:szCs w:val="14"/>
                  <w:color w:val="0000EE"/>
                  <w:w w:val="92"/>
                </w:rPr>
                <w:t>Independent Auditor’s report</w:t>
              </w:r>
            </w:hyperlink>
          </w:p>
        </w:tc>
        <w:tc>
          <w:tcPr>
            <w:tcW w:w="8820" w:type="dxa"/>
            <w:vAlign w:val="bottom"/>
            <w:tcBorders>
              <w:bottom w:val="single" w:sz="8" w:color="CCEEFF"/>
            </w:tcBorders>
            <w:gridSpan w:val="17"/>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F-44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80" w:type="dxa"/>
            <w:vAlign w:val="bottom"/>
            <w:gridSpan w:val="18"/>
          </w:tcPr>
          <w:p>
            <w:pPr>
              <w:spacing w:after="0"/>
              <w:rPr>
                <w:sz w:val="20"/>
                <w:szCs w:val="20"/>
                <w:color w:val="auto"/>
              </w:rPr>
            </w:pPr>
            <w:r>
              <w:rPr>
                <w:rFonts w:ascii="Arial" w:cs="Arial" w:eastAsia="Arial" w:hAnsi="Arial"/>
                <w:sz w:val="14"/>
                <w:szCs w:val="14"/>
                <w:color w:val="auto"/>
              </w:rPr>
              <w:t>Consolidated Financial Statements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80" w:type="dxa"/>
            <w:vAlign w:val="bottom"/>
            <w:tcBorders>
              <w:bottom w:val="single" w:sz="8" w:color="0000EE"/>
            </w:tcBorders>
            <w:gridSpan w:val="7"/>
            <w:shd w:val="clear" w:color="auto" w:fill="CCEEFF"/>
          </w:tcPr>
          <w:p>
            <w:pPr>
              <w:spacing w:after="0" w:line="139" w:lineRule="exact"/>
              <w:rPr>
                <w:rFonts w:ascii="Arial" w:cs="Arial" w:eastAsia="Arial" w:hAnsi="Arial"/>
                <w:sz w:val="14"/>
                <w:szCs w:val="14"/>
                <w:color w:val="0000EE"/>
                <w:w w:val="89"/>
              </w:rPr>
            </w:pPr>
            <w:hyperlink w:anchor="page159">
              <w:r>
                <w:rPr>
                  <w:rFonts w:ascii="Arial" w:cs="Arial" w:eastAsia="Arial" w:hAnsi="Arial"/>
                  <w:sz w:val="14"/>
                  <w:szCs w:val="14"/>
                  <w:color w:val="0000EE"/>
                  <w:w w:val="89"/>
                </w:rPr>
                <w:t>Consolidated Balance Sheets as of December 31, 2020 and 2019</w:t>
              </w:r>
            </w:hyperlink>
          </w:p>
        </w:tc>
        <w:tc>
          <w:tcPr>
            <w:tcW w:w="6800" w:type="dxa"/>
            <w:vAlign w:val="bottom"/>
            <w:tcBorders>
              <w:bottom w:val="single" w:sz="8" w:color="CCEEFF"/>
            </w:tcBorders>
            <w:gridSpan w:val="11"/>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F-46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80" w:type="dxa"/>
            <w:vAlign w:val="bottom"/>
            <w:tcBorders>
              <w:bottom w:val="single" w:sz="8" w:color="0000EE"/>
            </w:tcBorders>
            <w:gridSpan w:val="8"/>
          </w:tcPr>
          <w:p>
            <w:pPr>
              <w:spacing w:after="0" w:line="139" w:lineRule="exact"/>
              <w:rPr>
                <w:rFonts w:ascii="Arial" w:cs="Arial" w:eastAsia="Arial" w:hAnsi="Arial"/>
                <w:sz w:val="14"/>
                <w:szCs w:val="14"/>
                <w:color w:val="0000EE"/>
                <w:w w:val="90"/>
              </w:rPr>
            </w:pPr>
            <w:hyperlink w:anchor="page160">
              <w:r>
                <w:rPr>
                  <w:rFonts w:ascii="Arial" w:cs="Arial" w:eastAsia="Arial" w:hAnsi="Arial"/>
                  <w:sz w:val="14"/>
                  <w:szCs w:val="14"/>
                  <w:color w:val="0000EE"/>
                  <w:w w:val="90"/>
                </w:rPr>
                <w:t>Consolidated Statements of Operations for the years ended December 31, 2020 and 2019</w:t>
              </w:r>
            </w:hyperlink>
          </w:p>
        </w:tc>
        <w:tc>
          <w:tcPr>
            <w:tcW w:w="5400" w:type="dxa"/>
            <w:vAlign w:val="bottom"/>
            <w:gridSpan w:val="10"/>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Arial" w:cs="Arial" w:eastAsia="Arial" w:hAnsi="Arial"/>
                <w:sz w:val="14"/>
                <w:szCs w:val="14"/>
                <w:color w:val="auto"/>
                <w:w w:val="97"/>
              </w:rPr>
              <w:t>F-47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780" w:type="dxa"/>
            <w:vAlign w:val="bottom"/>
            <w:tcBorders>
              <w:bottom w:val="single" w:sz="8" w:color="0000EE"/>
            </w:tcBorders>
            <w:gridSpan w:val="16"/>
            <w:shd w:val="clear" w:color="auto" w:fill="CCEEFF"/>
          </w:tcPr>
          <w:p>
            <w:pPr>
              <w:spacing w:after="0" w:line="152" w:lineRule="exact"/>
              <w:rPr>
                <w:rFonts w:ascii="Arial" w:cs="Arial" w:eastAsia="Arial" w:hAnsi="Arial"/>
                <w:sz w:val="14"/>
                <w:szCs w:val="14"/>
                <w:color w:val="0000EE"/>
                <w:w w:val="91"/>
              </w:rPr>
            </w:pPr>
            <w:hyperlink w:anchor="page161">
              <w:r>
                <w:rPr>
                  <w:rFonts w:ascii="Arial" w:cs="Arial" w:eastAsia="Arial" w:hAnsi="Arial"/>
                  <w:sz w:val="14"/>
                  <w:szCs w:val="14"/>
                  <w:color w:val="0000EE"/>
                  <w:w w:val="91"/>
                </w:rPr>
                <w:t>Consolidated Statements of Changes in Redeemable Preferred Stock and Stockholders’ Equity (Deficit) for the years ended December 31, 2020 and 2019</w:t>
              </w:r>
            </w:hyperlink>
          </w:p>
        </w:tc>
        <w:tc>
          <w:tcPr>
            <w:tcW w:w="1700" w:type="dxa"/>
            <w:vAlign w:val="bottom"/>
            <w:tcBorders>
              <w:bottom w:val="single" w:sz="8" w:color="CCEEFF"/>
            </w:tcBorders>
            <w:gridSpan w:val="2"/>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spacing w:after="0" w:line="152" w:lineRule="exact"/>
              <w:rPr>
                <w:sz w:val="20"/>
                <w:szCs w:val="20"/>
                <w:color w:val="auto"/>
              </w:rPr>
            </w:pPr>
            <w:r>
              <w:rPr>
                <w:rFonts w:ascii="Arial" w:cs="Arial" w:eastAsia="Arial" w:hAnsi="Arial"/>
                <w:sz w:val="14"/>
                <w:szCs w:val="14"/>
                <w:color w:val="auto"/>
                <w:w w:val="97"/>
              </w:rPr>
              <w:t>F-48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20" w:type="dxa"/>
            <w:vAlign w:val="bottom"/>
            <w:tcBorders>
              <w:bottom w:val="single" w:sz="8" w:color="0000EE"/>
            </w:tcBorders>
            <w:gridSpan w:val="9"/>
          </w:tcPr>
          <w:p>
            <w:pPr>
              <w:spacing w:after="0" w:line="139" w:lineRule="exact"/>
              <w:rPr>
                <w:rFonts w:ascii="Arial" w:cs="Arial" w:eastAsia="Arial" w:hAnsi="Arial"/>
                <w:sz w:val="14"/>
                <w:szCs w:val="14"/>
                <w:color w:val="0000EE"/>
                <w:w w:val="90"/>
              </w:rPr>
            </w:pPr>
            <w:hyperlink w:anchor="page162">
              <w:r>
                <w:rPr>
                  <w:rFonts w:ascii="Arial" w:cs="Arial" w:eastAsia="Arial" w:hAnsi="Arial"/>
                  <w:sz w:val="14"/>
                  <w:szCs w:val="14"/>
                  <w:color w:val="0000EE"/>
                  <w:w w:val="90"/>
                </w:rPr>
                <w:t>Consolidated Statements of Cash Flows for the years ended December 31, 2020 and 2019</w:t>
              </w:r>
            </w:hyperlink>
          </w:p>
        </w:tc>
        <w:tc>
          <w:tcPr>
            <w:tcW w:w="5360" w:type="dxa"/>
            <w:vAlign w:val="bottom"/>
            <w:gridSpan w:val="9"/>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Arial" w:cs="Arial" w:eastAsia="Arial" w:hAnsi="Arial"/>
                <w:sz w:val="14"/>
                <w:szCs w:val="14"/>
                <w:color w:val="auto"/>
                <w:w w:val="97"/>
              </w:rPr>
              <w:t>F-49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80" w:type="dxa"/>
            <w:vAlign w:val="bottom"/>
            <w:gridSpan w:val="18"/>
            <w:shd w:val="clear" w:color="auto" w:fill="CCEEFF"/>
          </w:tcPr>
          <w:p>
            <w:pPr>
              <w:spacing w:after="0" w:line="152" w:lineRule="exact"/>
              <w:rPr>
                <w:rFonts w:ascii="Arial" w:cs="Arial" w:eastAsia="Arial" w:hAnsi="Arial"/>
                <w:sz w:val="14"/>
                <w:szCs w:val="14"/>
                <w:color w:val="0000EE"/>
              </w:rPr>
            </w:pPr>
            <w:hyperlink w:anchor="page163">
              <w:r>
                <w:rPr>
                  <w:rFonts w:ascii="Arial" w:cs="Arial" w:eastAsia="Arial" w:hAnsi="Arial"/>
                  <w:sz w:val="14"/>
                  <w:szCs w:val="14"/>
                  <w:color w:val="0000EE"/>
                </w:rPr>
                <w:t>Notes to Consolidated Financial Statements</w:t>
              </w:r>
            </w:hyperlink>
          </w:p>
        </w:tc>
        <w:tc>
          <w:tcPr>
            <w:tcW w:w="780" w:type="dxa"/>
            <w:vAlign w:val="bottom"/>
            <w:gridSpan w:val="2"/>
            <w:shd w:val="clear" w:color="auto" w:fill="CCEEFF"/>
          </w:tcPr>
          <w:p>
            <w:pPr>
              <w:jc w:val="center"/>
              <w:spacing w:after="0" w:line="152" w:lineRule="exact"/>
              <w:rPr>
                <w:sz w:val="20"/>
                <w:szCs w:val="20"/>
                <w:color w:val="auto"/>
              </w:rPr>
            </w:pPr>
            <w:r>
              <w:rPr>
                <w:rFonts w:ascii="Arial" w:cs="Arial" w:eastAsia="Arial" w:hAnsi="Arial"/>
                <w:sz w:val="14"/>
                <w:szCs w:val="14"/>
                <w:color w:val="auto"/>
                <w:w w:val="92"/>
              </w:rPr>
              <w:t>F-50 – F-67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5220" w:type="dxa"/>
            <w:vAlign w:val="bottom"/>
            <w:tcBorders>
              <w:top w:val="single" w:sz="8" w:color="CCEEFF"/>
              <w:bottom w:val="single" w:sz="8" w:color="auto"/>
            </w:tcBorders>
            <w:gridSpan w:val="8"/>
          </w:tcPr>
          <w:p>
            <w:pPr>
              <w:jc w:val="center"/>
              <w:ind w:right="4500"/>
              <w:spacing w:after="0"/>
              <w:rPr>
                <w:sz w:val="20"/>
                <w:szCs w:val="20"/>
                <w:color w:val="auto"/>
              </w:rPr>
            </w:pPr>
            <w:r>
              <w:rPr>
                <w:rFonts w:ascii="Arial" w:cs="Arial" w:eastAsia="Arial" w:hAnsi="Arial"/>
                <w:sz w:val="14"/>
                <w:szCs w:val="14"/>
                <w:color w:val="auto"/>
                <w:w w:val="95"/>
              </w:rPr>
              <w:t>F-1</w:t>
            </w: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Prepaid Expenses</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current assets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Deferred offering costs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Marketable securities held in Trust Account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236" w:lineRule="exact"/>
        <w:rPr>
          <w:sz w:val="20"/>
          <w:szCs w:val="20"/>
          <w:color w:val="auto"/>
        </w:rPr>
      </w:pPr>
    </w:p>
    <w:p>
      <w:pPr>
        <w:ind w:left="140" w:right="1080" w:hanging="142"/>
        <w:spacing w:after="0" w:line="271" w:lineRule="auto"/>
        <w:rPr>
          <w:sz w:val="20"/>
          <w:szCs w:val="20"/>
          <w:color w:val="auto"/>
        </w:rPr>
      </w:pPr>
      <w:r>
        <w:rPr>
          <w:rFonts w:ascii="Arial" w:cs="Arial" w:eastAsia="Arial" w:hAnsi="Arial"/>
          <w:sz w:val="14"/>
          <w:szCs w:val="14"/>
          <w:b w:val="1"/>
          <w:bCs w:val="1"/>
          <w:color w:val="auto"/>
        </w:rPr>
        <w:t xml:space="preserve">Liabilities and Stockholders’ (Deficit) Equity </w:t>
      </w:r>
      <w:r>
        <w:rPr>
          <w:rFonts w:ascii="Arial" w:cs="Arial" w:eastAsia="Arial" w:hAnsi="Arial"/>
          <w:sz w:val="14"/>
          <w:szCs w:val="14"/>
          <w:color w:val="auto"/>
        </w:rPr>
        <w:t>Accrued offering costs and expenses Promissory note – related party</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 current liabilities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underwriting fee</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Warrant liability</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SAB BIOTHERAPEUTICS, INC.</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(f/k/a Big Cypress Acquisition Corp.)</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BALANCE SHEETS</w:t>
      </w:r>
    </w:p>
    <w:p>
      <w:pPr>
        <w:spacing w:after="0" w:line="179" w:lineRule="exact"/>
        <w:rPr>
          <w:sz w:val="20"/>
          <w:szCs w:val="20"/>
          <w:color w:val="auto"/>
        </w:rPr>
      </w:pPr>
    </w:p>
    <w:tbl>
      <w:tblPr>
        <w:tblLayout w:type="fixed"/>
        <w:tblInd w:w="202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2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2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(audited)</w:t>
            </w:r>
          </w:p>
        </w:tc>
        <w:tc>
          <w:tcPr>
            <w:tcW w:w="20" w:type="dxa"/>
            <w:vAlign w:val="bottom"/>
          </w:tcPr>
          <w:p>
            <w:pPr>
              <w:spacing w:after="0"/>
              <w:rPr>
                <w:sz w:val="16"/>
                <w:szCs w:val="16"/>
                <w:color w:val="auto"/>
              </w:rPr>
            </w:pPr>
          </w:p>
        </w:tc>
      </w:tr>
      <w:tr>
        <w:trPr>
          <w:trHeight w:val="329"/>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667,873</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84,836</w:t>
            </w:r>
          </w:p>
        </w:tc>
      </w:tr>
      <w:tr>
        <w:trPr>
          <w:trHeight w:val="185"/>
        </w:trPr>
        <w:tc>
          <w:tcPr>
            <w:tcW w:w="280" w:type="dxa"/>
            <w:vAlign w:val="bottom"/>
          </w:tcPr>
          <w:p>
            <w:pPr>
              <w:spacing w:after="0"/>
              <w:rPr>
                <w:sz w:val="16"/>
                <w:szCs w:val="16"/>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102,742</w:t>
            </w:r>
          </w:p>
        </w:tc>
        <w:tc>
          <w:tcPr>
            <w:tcW w:w="28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2,258</w:t>
            </w:r>
          </w:p>
        </w:tc>
      </w:tr>
      <w:tr>
        <w:trPr>
          <w:trHeight w:val="181"/>
        </w:trPr>
        <w:tc>
          <w:tcPr>
            <w:tcW w:w="2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770,615</w:t>
            </w:r>
          </w:p>
        </w:tc>
        <w:tc>
          <w:tcPr>
            <w:tcW w:w="3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87,094</w:t>
            </w:r>
          </w:p>
        </w:tc>
      </w:tr>
      <w:tr>
        <w:trPr>
          <w:trHeight w:val="333"/>
        </w:trPr>
        <w:tc>
          <w:tcPr>
            <w:tcW w:w="280" w:type="dxa"/>
            <w:vAlign w:val="bottom"/>
          </w:tcPr>
          <w:p>
            <w:pPr>
              <w:spacing w:after="0"/>
              <w:rPr>
                <w:sz w:val="24"/>
                <w:szCs w:val="24"/>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235,111</w:t>
            </w:r>
          </w:p>
        </w:tc>
      </w:tr>
      <w:tr>
        <w:trPr>
          <w:trHeight w:val="183"/>
        </w:trPr>
        <w:tc>
          <w:tcPr>
            <w:tcW w:w="280" w:type="dxa"/>
            <w:vAlign w:val="bottom"/>
          </w:tcPr>
          <w:p>
            <w:pPr>
              <w:spacing w:after="0"/>
              <w:rPr>
                <w:sz w:val="15"/>
                <w:szCs w:val="15"/>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116,158,244</w:t>
            </w:r>
          </w:p>
        </w:tc>
        <w:tc>
          <w:tcPr>
            <w:tcW w:w="280" w:type="dxa"/>
            <w:vAlign w:val="bottom"/>
          </w:tcPr>
          <w:p>
            <w:pPr>
              <w:spacing w:after="0"/>
              <w:rPr>
                <w:sz w:val="15"/>
                <w:szCs w:val="15"/>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2"/>
        </w:trPr>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116,928,859</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322,205</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87"/>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322,376</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156,201</w:t>
            </w:r>
          </w:p>
        </w:tc>
      </w:tr>
      <w:tr>
        <w:trPr>
          <w:trHeight w:val="185"/>
        </w:trPr>
        <w:tc>
          <w:tcPr>
            <w:tcW w:w="280" w:type="dxa"/>
            <w:vAlign w:val="bottom"/>
          </w:tcPr>
          <w:p>
            <w:pPr>
              <w:spacing w:after="0"/>
              <w:rPr>
                <w:sz w:val="16"/>
                <w:szCs w:val="16"/>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150,000</w:t>
            </w:r>
          </w:p>
        </w:tc>
      </w:tr>
      <w:tr>
        <w:trPr>
          <w:trHeight w:val="161"/>
        </w:trPr>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322,376</w:t>
            </w:r>
          </w:p>
        </w:tc>
        <w:tc>
          <w:tcPr>
            <w:tcW w:w="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306,201</w:t>
            </w:r>
          </w:p>
        </w:tc>
      </w:tr>
      <w:tr>
        <w:trPr>
          <w:trHeight w:val="181"/>
        </w:trPr>
        <w:tc>
          <w:tcPr>
            <w:tcW w:w="280" w:type="dxa"/>
            <w:vAlign w:val="bottom"/>
          </w:tcPr>
          <w:p>
            <w:pPr>
              <w:spacing w:after="0"/>
              <w:rPr>
                <w:sz w:val="15"/>
                <w:szCs w:val="15"/>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4,220,500</w:t>
            </w:r>
          </w:p>
        </w:tc>
        <w:tc>
          <w:tcPr>
            <w:tcW w:w="280" w:type="dxa"/>
            <w:vAlign w:val="bottom"/>
          </w:tcPr>
          <w:p>
            <w:pPr>
              <w:spacing w:after="0"/>
              <w:rPr>
                <w:sz w:val="15"/>
                <w:szCs w:val="15"/>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85"/>
        </w:trPr>
        <w:tc>
          <w:tcPr>
            <w:tcW w:w="280" w:type="dxa"/>
            <w:vAlign w:val="bottom"/>
          </w:tcPr>
          <w:p>
            <w:pPr>
              <w:spacing w:after="0"/>
              <w:rPr>
                <w:sz w:val="16"/>
                <w:szCs w:val="16"/>
                <w:color w:val="auto"/>
              </w:rPr>
            </w:pPr>
          </w:p>
        </w:tc>
        <w:tc>
          <w:tcPr>
            <w:tcW w:w="2200" w:type="dxa"/>
            <w:vAlign w:val="bottom"/>
            <w:gridSpan w:val="2"/>
          </w:tcPr>
          <w:p>
            <w:pPr>
              <w:jc w:val="right"/>
              <w:ind w:right="340"/>
              <w:spacing w:after="0"/>
              <w:rPr>
                <w:sz w:val="20"/>
                <w:szCs w:val="20"/>
                <w:color w:val="auto"/>
              </w:rPr>
            </w:pPr>
            <w:r>
              <w:rPr>
                <w:rFonts w:ascii="Arial" w:cs="Arial" w:eastAsia="Arial" w:hAnsi="Arial"/>
                <w:sz w:val="14"/>
                <w:szCs w:val="14"/>
                <w:color w:val="auto"/>
              </w:rPr>
              <w:t>5,529,312</w:t>
            </w:r>
          </w:p>
        </w:tc>
        <w:tc>
          <w:tcPr>
            <w:tcW w:w="28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73"/>
        </w:trPr>
        <w:tc>
          <w:tcPr>
            <w:tcW w:w="28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10,072,188</w:t>
            </w:r>
          </w:p>
        </w:tc>
        <w:tc>
          <w:tcPr>
            <w:tcW w:w="3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306,201</w:t>
            </w:r>
          </w:p>
        </w:tc>
        <w:tc>
          <w:tcPr>
            <w:tcW w:w="2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-1866265</wp:posOffset>
            </wp:positionV>
            <wp:extent cx="7160260" cy="109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-1647825</wp:posOffset>
            </wp:positionV>
            <wp:extent cx="7160260" cy="1225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-1409700</wp:posOffset>
            </wp:positionV>
            <wp:extent cx="7160260" cy="1092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-1191895</wp:posOffset>
            </wp:positionV>
            <wp:extent cx="7160260" cy="1225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-939800</wp:posOffset>
            </wp:positionV>
            <wp:extent cx="7160260" cy="1225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-708025</wp:posOffset>
            </wp:positionV>
            <wp:extent cx="7160260" cy="1092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-476250</wp:posOffset>
            </wp:positionV>
            <wp:extent cx="7160260" cy="115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11557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-251460</wp:posOffset>
            </wp:positionV>
            <wp:extent cx="7160260" cy="1225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1225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-6350</wp:posOffset>
            </wp:positionV>
            <wp:extent cx="7160260" cy="1155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15570"/>
                    </a:xfrm>
                    <a:prstGeom prst="rect">
                      <a:avLst/>
                    </a:prstGeom>
                    <a:noFill/>
                  </pic:spPr>
                </pic:pic>
              </a:graphicData>
            </a:graphic>
          </wp:anchor>
        </w:drawing>
      </w:r>
    </w:p>
    <w:p>
      <w:pPr>
        <w:spacing w:after="0" w:line="361" w:lineRule="exact"/>
        <w:rPr>
          <w:sz w:val="20"/>
          <w:szCs w:val="20"/>
          <w:color w:val="auto"/>
        </w:rPr>
      </w:pPr>
    </w:p>
    <w:p>
      <w:pPr>
        <w:sectPr>
          <w:pgSz w:w="11900" w:h="16838" w:orient="portrait"/>
          <w:cols w:equalWidth="0" w:num="2">
            <w:col w:w="3820" w:space="720"/>
            <w:col w:w="6740"/>
          </w:cols>
          <w:pgMar w:left="300" w:top="554" w:right="319" w:bottom="1440" w:gutter="0" w:footer="0" w:header="0"/>
        </w:sect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560" w:type="dxa"/>
            <w:vAlign w:val="bottom"/>
            <w:gridSpan w:val="2"/>
          </w:tcPr>
          <w:p>
            <w:pPr>
              <w:spacing w:after="0"/>
              <w:rPr>
                <w:sz w:val="20"/>
                <w:szCs w:val="20"/>
                <w:color w:val="auto"/>
              </w:rPr>
            </w:pPr>
            <w:r>
              <w:rPr>
                <w:rFonts w:ascii="Arial" w:cs="Arial" w:eastAsia="Arial" w:hAnsi="Arial"/>
                <w:sz w:val="14"/>
                <w:szCs w:val="14"/>
                <w:color w:val="auto"/>
                <w:w w:val="98"/>
              </w:rPr>
              <w:t>Common Stock subject to possible redemption, 11,500,000 and no shares at redemption value of $10.10 at</w:t>
            </w: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560" w:type="dxa"/>
            <w:vAlign w:val="bottom"/>
            <w:gridSpan w:val="2"/>
          </w:tcPr>
          <w:p>
            <w:pPr>
              <w:spacing w:after="0"/>
              <w:rPr>
                <w:sz w:val="20"/>
                <w:szCs w:val="20"/>
                <w:color w:val="auto"/>
              </w:rPr>
            </w:pPr>
            <w:r>
              <w:rPr>
                <w:rFonts w:ascii="Arial" w:cs="Arial" w:eastAsia="Arial" w:hAnsi="Arial"/>
                <w:sz w:val="14"/>
                <w:szCs w:val="14"/>
                <w:color w:val="auto"/>
              </w:rPr>
              <w:t>September 30, 2021 and December 31, 2020, respectively</w:t>
            </w:r>
          </w:p>
        </w:tc>
        <w:tc>
          <w:tcPr>
            <w:tcW w:w="760" w:type="dxa"/>
            <w:vAlign w:val="bottom"/>
          </w:tcPr>
          <w:p>
            <w:pPr>
              <w:spacing w:after="0"/>
              <w:rPr>
                <w:sz w:val="15"/>
                <w:szCs w:val="15"/>
                <w:color w:val="auto"/>
              </w:rPr>
            </w:pPr>
          </w:p>
        </w:tc>
        <w:tc>
          <w:tcPr>
            <w:tcW w:w="1720" w:type="dxa"/>
            <w:vAlign w:val="bottom"/>
            <w:gridSpan w:val="2"/>
          </w:tcPr>
          <w:p>
            <w:pPr>
              <w:jc w:val="right"/>
              <w:ind w:right="268"/>
              <w:spacing w:after="0"/>
              <w:rPr>
                <w:sz w:val="20"/>
                <w:szCs w:val="20"/>
                <w:color w:val="auto"/>
              </w:rPr>
            </w:pPr>
            <w:r>
              <w:rPr>
                <w:rFonts w:ascii="Arial" w:cs="Arial" w:eastAsia="Arial" w:hAnsi="Arial"/>
                <w:sz w:val="14"/>
                <w:szCs w:val="14"/>
                <w:color w:val="auto"/>
              </w:rPr>
              <w:t>116,150,000</w:t>
            </w:r>
          </w:p>
        </w:tc>
        <w:tc>
          <w:tcPr>
            <w:tcW w:w="880" w:type="dxa"/>
            <w:vAlign w:val="bottom"/>
          </w:tcPr>
          <w:p>
            <w:pPr>
              <w:spacing w:after="0"/>
              <w:rPr>
                <w:sz w:val="15"/>
                <w:szCs w:val="15"/>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$0.0001 par value; 1,000,000 shares authorized; none issued and outstanding</w:t>
            </w:r>
          </w:p>
        </w:tc>
        <w:tc>
          <w:tcPr>
            <w:tcW w:w="7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40" w:type="dxa"/>
            <w:vAlign w:val="bottom"/>
          </w:tcPr>
          <w:p>
            <w:pPr>
              <w:spacing w:after="0"/>
              <w:rPr>
                <w:sz w:val="20"/>
                <w:szCs w:val="20"/>
                <w:color w:val="auto"/>
              </w:rPr>
            </w:pPr>
            <w:r>
              <w:rPr>
                <w:rFonts w:ascii="Arial" w:cs="Arial" w:eastAsia="Arial" w:hAnsi="Arial"/>
                <w:sz w:val="14"/>
                <w:szCs w:val="14"/>
                <w:color w:val="auto"/>
                <w:w w:val="94"/>
              </w:rPr>
              <w:t>Common stock, $0.0001 par value; 50,000,000 shares authorized; 3,292,200 and 2,875,000 shares issued and</w:t>
            </w: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560" w:type="dxa"/>
            <w:vAlign w:val="bottom"/>
            <w:gridSpan w:val="2"/>
          </w:tcPr>
          <w:p>
            <w:pPr>
              <w:spacing w:after="0"/>
              <w:rPr>
                <w:sz w:val="20"/>
                <w:szCs w:val="20"/>
                <w:color w:val="auto"/>
              </w:rPr>
            </w:pPr>
            <w:r>
              <w:rPr>
                <w:rFonts w:ascii="Arial" w:cs="Arial" w:eastAsia="Arial" w:hAnsi="Arial"/>
                <w:sz w:val="14"/>
                <w:szCs w:val="14"/>
                <w:color w:val="auto"/>
                <w:w w:val="96"/>
              </w:rPr>
              <w:t>outstanding (excluding 11,500,000 and no shares subject to possible redemption) at September 30, 2021 and</w:t>
            </w: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60" w:type="dxa"/>
            <w:vAlign w:val="bottom"/>
            <w:gridSpan w:val="2"/>
          </w:tcPr>
          <w:p>
            <w:pPr>
              <w:spacing w:after="0"/>
              <w:rPr>
                <w:sz w:val="20"/>
                <w:szCs w:val="20"/>
                <w:color w:val="auto"/>
              </w:rPr>
            </w:pPr>
            <w:r>
              <w:rPr>
                <w:rFonts w:ascii="Arial" w:cs="Arial" w:eastAsia="Arial" w:hAnsi="Arial"/>
                <w:sz w:val="14"/>
                <w:szCs w:val="14"/>
                <w:color w:val="auto"/>
              </w:rPr>
              <w:t>December 31, 2020, respectively</w:t>
            </w:r>
          </w:p>
        </w:tc>
        <w:tc>
          <w:tcPr>
            <w:tcW w:w="760" w:type="dxa"/>
            <w:vAlign w:val="bottom"/>
          </w:tcPr>
          <w:p>
            <w:pPr>
              <w:spacing w:after="0"/>
              <w:rPr>
                <w:sz w:val="15"/>
                <w:szCs w:val="15"/>
                <w:color w:val="auto"/>
              </w:rPr>
            </w:pPr>
          </w:p>
        </w:tc>
        <w:tc>
          <w:tcPr>
            <w:tcW w:w="1720" w:type="dxa"/>
            <w:vAlign w:val="bottom"/>
            <w:gridSpan w:val="2"/>
          </w:tcPr>
          <w:p>
            <w:pPr>
              <w:jc w:val="right"/>
              <w:ind w:right="268"/>
              <w:spacing w:after="0"/>
              <w:rPr>
                <w:sz w:val="20"/>
                <w:szCs w:val="20"/>
                <w:color w:val="auto"/>
              </w:rPr>
            </w:pPr>
            <w:r>
              <w:rPr>
                <w:rFonts w:ascii="Arial" w:cs="Arial" w:eastAsia="Arial" w:hAnsi="Arial"/>
                <w:sz w:val="14"/>
                <w:szCs w:val="14"/>
                <w:color w:val="auto"/>
              </w:rPr>
              <w:t>330</w:t>
            </w:r>
          </w:p>
        </w:tc>
        <w:tc>
          <w:tcPr>
            <w:tcW w:w="88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7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24,712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Accumulated deficit</w:t>
            </w:r>
          </w:p>
        </w:tc>
        <w:tc>
          <w:tcPr>
            <w:tcW w:w="760" w:type="dxa"/>
            <w:vAlign w:val="bottom"/>
          </w:tcPr>
          <w:p>
            <w:pPr>
              <w:spacing w:after="0"/>
              <w:rPr>
                <w:sz w:val="15"/>
                <w:szCs w:val="15"/>
                <w:color w:val="auto"/>
              </w:rPr>
            </w:pPr>
          </w:p>
        </w:tc>
        <w:tc>
          <w:tcPr>
            <w:tcW w:w="1720" w:type="dxa"/>
            <w:vAlign w:val="bottom"/>
            <w:gridSpan w:val="2"/>
          </w:tcPr>
          <w:p>
            <w:pPr>
              <w:jc w:val="right"/>
              <w:ind w:right="208"/>
              <w:spacing w:after="0"/>
              <w:rPr>
                <w:sz w:val="20"/>
                <w:szCs w:val="20"/>
                <w:color w:val="auto"/>
              </w:rPr>
            </w:pPr>
            <w:r>
              <w:rPr>
                <w:rFonts w:ascii="Arial" w:cs="Arial" w:eastAsia="Arial" w:hAnsi="Arial"/>
                <w:sz w:val="14"/>
                <w:szCs w:val="14"/>
                <w:color w:val="auto"/>
              </w:rPr>
              <w:t>(9,293,659)</w:t>
            </w:r>
          </w:p>
        </w:tc>
        <w:tc>
          <w:tcPr>
            <w:tcW w:w="880" w:type="dxa"/>
            <w:vAlign w:val="bottom"/>
          </w:tcPr>
          <w:p>
            <w:pPr>
              <w:spacing w:after="0"/>
              <w:rPr>
                <w:sz w:val="15"/>
                <w:szCs w:val="15"/>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stockholders’ (deficit) equity</w:t>
            </w:r>
          </w:p>
        </w:tc>
        <w:tc>
          <w:tcPr>
            <w:tcW w:w="760" w:type="dxa"/>
            <w:vAlign w:val="bottom"/>
            <w:tcBorders>
              <w:top w:val="single" w:sz="8" w:color="auto"/>
              <w:bottom w:val="single" w:sz="8" w:color="auto"/>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(9,293,329</w:t>
            </w:r>
          </w:p>
        </w:tc>
        <w:tc>
          <w:tcPr>
            <w:tcW w:w="340" w:type="dxa"/>
            <w:vAlign w:val="bottom"/>
            <w:tcBorders>
              <w:top w:val="single" w:sz="8" w:color="CCEEFF"/>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16,004</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(Deficit) Equity</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268"/>
              <w:spacing w:after="0"/>
              <w:rPr>
                <w:sz w:val="20"/>
                <w:szCs w:val="20"/>
                <w:color w:val="auto"/>
              </w:rPr>
            </w:pPr>
            <w:r>
              <w:rPr>
                <w:rFonts w:ascii="Arial" w:cs="Arial" w:eastAsia="Arial" w:hAnsi="Arial"/>
                <w:sz w:val="14"/>
                <w:szCs w:val="14"/>
                <w:color w:val="auto"/>
              </w:rPr>
              <w:t>116,928,859</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322,205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4"/>
          <w:szCs w:val="14"/>
          <w:b w:val="1"/>
          <w:bCs w:val="1"/>
          <w:color w:val="auto"/>
        </w:rPr>
        <w:t>SAB BIOTHERAPEUTICS,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(f/k/a Big Cypress Acquisition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AND NINE MONTHS ENDED SEPTEMBER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2"/>
          </w:tcPr>
          <w:p>
            <w:pPr>
              <w:jc w:val="right"/>
              <w:ind w:right="728"/>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1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Operating costs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22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335,552</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704,011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tcBorders>
              <w:top w:val="single" w:sz="8" w:color="CCEEFF"/>
              <w:bottom w:val="single" w:sz="8" w:color="CCEEFF"/>
            </w:tcBorders>
          </w:tcPr>
          <w:p>
            <w:pPr>
              <w:ind w:left="120"/>
              <w:spacing w:after="0" w:line="153" w:lineRule="exact"/>
              <w:rPr>
                <w:sz w:val="20"/>
                <w:szCs w:val="20"/>
                <w:color w:val="auto"/>
              </w:rPr>
            </w:pPr>
            <w:r>
              <w:rPr>
                <w:rFonts w:ascii="Arial" w:cs="Arial" w:eastAsia="Arial" w:hAnsi="Arial"/>
                <w:sz w:val="14"/>
                <w:szCs w:val="14"/>
                <w:b w:val="1"/>
                <w:bCs w:val="1"/>
                <w:color w:val="auto"/>
              </w:rPr>
              <w:t>Loss from Operations</w:t>
            </w:r>
          </w:p>
        </w:tc>
        <w:tc>
          <w:tcPr>
            <w:tcW w:w="240" w:type="dxa"/>
            <w:vAlign w:val="bottom"/>
            <w:tcBorders>
              <w:top w:val="single" w:sz="8" w:color="auto"/>
              <w:bottom w:val="single" w:sz="8" w:color="auto"/>
            </w:tcBorders>
          </w:tcPr>
          <w:p>
            <w:pPr>
              <w:spacing w:after="0"/>
              <w:rPr>
                <w:sz w:val="13"/>
                <w:szCs w:val="13"/>
                <w:color w:val="auto"/>
              </w:rPr>
            </w:pPr>
          </w:p>
        </w:tc>
        <w:tc>
          <w:tcPr>
            <w:tcW w:w="1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(335,552</w:t>
            </w:r>
          </w:p>
        </w:tc>
        <w:tc>
          <w:tcPr>
            <w:tcW w:w="340" w:type="dxa"/>
            <w:vAlign w:val="bottom"/>
            <w:tcBorders>
              <w:top w:val="single" w:sz="8" w:color="CCEEFF"/>
              <w:bottom w:val="single" w:sz="8" w:color="CCEEFF"/>
            </w:tcBorders>
          </w:tcPr>
          <w:p>
            <w:pPr>
              <w:jc w:val="right"/>
              <w:ind w:right="208"/>
              <w:spacing w:after="0" w:line="153" w:lineRule="exact"/>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tcPr>
          <w:p>
            <w:pPr>
              <w:spacing w:after="0"/>
              <w:rPr>
                <w:sz w:val="13"/>
                <w:szCs w:val="13"/>
                <w:color w:val="auto"/>
              </w:rPr>
            </w:pPr>
          </w:p>
        </w:tc>
        <w:tc>
          <w:tcPr>
            <w:tcW w:w="18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(704,011</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4"/>
                <w:szCs w:val="14"/>
                <w:color w:val="auto"/>
              </w:rPr>
              <w:t>Other income (expense):</w:t>
            </w: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earned on marketable securities held in Trust Account</w:t>
            </w:r>
          </w:p>
        </w:tc>
        <w:tc>
          <w:tcPr>
            <w:tcW w:w="24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2,929</w:t>
            </w:r>
          </w:p>
        </w:tc>
        <w:tc>
          <w:tcPr>
            <w:tcW w:w="26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tcPr>
          <w:p>
            <w:pPr>
              <w:ind w:left="280"/>
              <w:spacing w:after="0"/>
              <w:rPr>
                <w:sz w:val="20"/>
                <w:szCs w:val="20"/>
                <w:color w:val="auto"/>
              </w:rPr>
            </w:pPr>
            <w:r>
              <w:rPr>
                <w:rFonts w:ascii="Arial" w:cs="Arial" w:eastAsia="Arial" w:hAnsi="Arial"/>
                <w:sz w:val="14"/>
                <w:szCs w:val="14"/>
                <w:color w:val="auto"/>
              </w:rPr>
              <w:t>Offering costs allocated to warrants</w:t>
            </w:r>
          </w:p>
        </w:tc>
        <w:tc>
          <w:tcPr>
            <w:tcW w:w="24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4"/>
                <w:szCs w:val="14"/>
                <w:color w:val="auto"/>
              </w:rPr>
              <w:t>(359,874)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warrant liability</w:t>
            </w:r>
          </w:p>
        </w:tc>
        <w:tc>
          <w:tcPr>
            <w:tcW w:w="2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1,794</w:t>
            </w: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1,495,871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40" w:type="dxa"/>
            <w:vAlign w:val="bottom"/>
            <w:tcBorders>
              <w:top w:val="single" w:sz="8" w:color="CCEEFF"/>
            </w:tcBorders>
          </w:tcPr>
          <w:p>
            <w:pPr>
              <w:ind w:left="120"/>
              <w:spacing w:after="0" w:line="153" w:lineRule="exact"/>
              <w:rPr>
                <w:sz w:val="20"/>
                <w:szCs w:val="20"/>
                <w:color w:val="auto"/>
              </w:rPr>
            </w:pPr>
            <w:r>
              <w:rPr>
                <w:rFonts w:ascii="Arial" w:cs="Arial" w:eastAsia="Arial" w:hAnsi="Arial"/>
                <w:sz w:val="14"/>
                <w:szCs w:val="14"/>
                <w:b w:val="1"/>
                <w:bCs w:val="1"/>
                <w:color w:val="auto"/>
              </w:rPr>
              <w:t>Total other income (expense)</w:t>
            </w:r>
          </w:p>
        </w:tc>
        <w:tc>
          <w:tcPr>
            <w:tcW w:w="2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4,723</w:t>
            </w:r>
          </w:p>
        </w:tc>
        <w:tc>
          <w:tcPr>
            <w:tcW w:w="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1,144,241</w:t>
            </w: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(330,829</w:t>
            </w:r>
          </w:p>
        </w:tc>
        <w:tc>
          <w:tcPr>
            <w:tcW w:w="340" w:type="dxa"/>
            <w:vAlign w:val="bottom"/>
            <w:tcBorders>
              <w:bottom w:val="single" w:sz="8" w:color="CCEEFF"/>
            </w:tcBorders>
          </w:tcPr>
          <w:p>
            <w:pPr>
              <w:jc w:val="right"/>
              <w:ind w:right="208"/>
              <w:spacing w:after="0"/>
              <w:rPr>
                <w:sz w:val="20"/>
                <w:szCs w:val="20"/>
                <w:color w:val="auto"/>
              </w:rPr>
            </w:pPr>
            <w:r>
              <w:rPr>
                <w:rFonts w:ascii="Arial" w:cs="Arial" w:eastAsia="Arial" w:hAnsi="Arial"/>
                <w:sz w:val="14"/>
                <w:szCs w:val="14"/>
                <w:color w:val="auto"/>
                <w:w w:val="84"/>
              </w:rPr>
              <w: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440,230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Basic and diluted weighted average shares outstanding</w:t>
            </w:r>
          </w:p>
        </w:tc>
        <w:tc>
          <w:tcPr>
            <w:tcW w:w="240" w:type="dxa"/>
            <w:vAlign w:val="bottom"/>
            <w:tcBorders>
              <w:bottom w:val="single" w:sz="8" w:color="auto"/>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14,792,200</w:t>
            </w:r>
          </w:p>
        </w:tc>
        <w:tc>
          <w:tcPr>
            <w:tcW w:w="3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8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14,224,714</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spacing w:after="0"/>
              <w:rPr>
                <w:sz w:val="20"/>
                <w:szCs w:val="20"/>
                <w:color w:val="auto"/>
              </w:rPr>
            </w:pPr>
            <w:r>
              <w:rPr>
                <w:rFonts w:ascii="Arial" w:cs="Arial" w:eastAsia="Arial" w:hAnsi="Arial"/>
                <w:sz w:val="14"/>
                <w:szCs w:val="14"/>
                <w:color w:val="auto"/>
              </w:rPr>
              <w:t>Basic and diluted net (loss) income per common share</w:t>
            </w: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vMerge w:val="restart"/>
          </w:tcPr>
          <w:p>
            <w:pPr>
              <w:jc w:val="right"/>
              <w:ind w:right="208"/>
              <w:spacing w:after="0"/>
              <w:rPr>
                <w:sz w:val="20"/>
                <w:szCs w:val="20"/>
                <w:color w:val="auto"/>
              </w:rPr>
            </w:pPr>
            <w:r>
              <w:rPr>
                <w:rFonts w:ascii="Arial" w:cs="Arial" w:eastAsia="Arial" w:hAnsi="Arial"/>
                <w:sz w:val="14"/>
                <w:szCs w:val="14"/>
                <w:color w:val="auto"/>
                <w:w w:val="84"/>
              </w:rPr>
              <w:t>)</w:t>
            </w:r>
          </w:p>
        </w:tc>
        <w:tc>
          <w:tcPr>
            <w:tcW w:w="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4" w:lineRule="exact"/>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(0.02</w:t>
            </w:r>
          </w:p>
        </w:tc>
        <w:tc>
          <w:tcPr>
            <w:tcW w:w="34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4" w:lineRule="exact"/>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0.03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SAB BIOTHERAPEUTICS,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(f/k/a Big Cypress Acquisition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 OF CHANGES IN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7"/>
                <w:szCs w:val="17"/>
                <w:color w:val="auto"/>
              </w:rPr>
            </w:pPr>
          </w:p>
        </w:tc>
        <w:tc>
          <w:tcPr>
            <w:tcW w:w="14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4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72"/>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2,875,000</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24,712</w:t>
            </w: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(8,996)</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4"/>
                <w:szCs w:val="14"/>
                <w:color w:val="auto"/>
              </w:rPr>
              <w:t>Sale of 11,500,000 Units, net of underwriting discount and</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20"/>
                <w:szCs w:val="20"/>
                <w:color w:val="auto"/>
              </w:rPr>
            </w:pPr>
            <w:r>
              <w:rPr>
                <w:rFonts w:ascii="Arial" w:cs="Arial" w:eastAsia="Arial" w:hAnsi="Arial"/>
                <w:sz w:val="14"/>
                <w:szCs w:val="14"/>
                <w:color w:val="auto"/>
              </w:rPr>
              <w:t>offering expenses</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11,500,000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1,150</w:t>
            </w:r>
          </w:p>
        </w:tc>
        <w:tc>
          <w:tcPr>
            <w:tcW w:w="180" w:type="dxa"/>
            <w:vAlign w:val="bottom"/>
          </w:tcPr>
          <w:p>
            <w:pPr>
              <w:spacing w:after="0"/>
              <w:rPr>
                <w:sz w:val="15"/>
                <w:szCs w:val="15"/>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6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Sale of 417,200 Private Placement Units, net of private</w:t>
            </w: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warrant liability and proceeds used to overfund trust</w:t>
            </w: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account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417,200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2,771,995</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2,772,037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4"/>
                <w:szCs w:val="14"/>
                <w:color w:val="auto"/>
              </w:rPr>
              <w:t>Proceeds received from sale of shares to representative</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2,105</w:t>
            </w:r>
          </w:p>
        </w:tc>
        <w:tc>
          <w:tcPr>
            <w:tcW w:w="14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7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2,973,220</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2,973,220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40" w:type="dxa"/>
            <w:vAlign w:val="bottom"/>
          </w:tcPr>
          <w:p>
            <w:pPr>
              <w:spacing w:after="0"/>
              <w:rPr>
                <w:sz w:val="20"/>
                <w:szCs w:val="20"/>
                <w:color w:val="auto"/>
              </w:rPr>
            </w:pPr>
            <w:r>
              <w:rPr>
                <w:rFonts w:ascii="Arial" w:cs="Arial" w:eastAsia="Arial" w:hAnsi="Arial"/>
                <w:sz w:val="14"/>
                <w:szCs w:val="14"/>
                <w:color w:val="auto"/>
              </w:rPr>
              <w:t>Common stock subject to possible redemption</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(11,500,000)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(1,150)</w:t>
            </w:r>
          </w:p>
        </w:tc>
        <w:tc>
          <w:tcPr>
            <w:tcW w:w="1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Accretion of common stock subject to possible redemption</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(2,798,812)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(9,724,893)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(12,523,705)</w:t>
            </w:r>
          </w:p>
        </w:tc>
        <w:tc>
          <w:tcPr>
            <w:tcW w:w="0" w:type="dxa"/>
            <w:vAlign w:val="bottom"/>
          </w:tcPr>
          <w:p>
            <w:pPr>
              <w:spacing w:after="0"/>
              <w:rPr>
                <w:sz w:val="1"/>
                <w:szCs w:val="1"/>
                <w:color w:val="auto"/>
              </w:rPr>
            </w:pPr>
          </w:p>
        </w:tc>
      </w:tr>
      <w:tr>
        <w:trPr>
          <w:trHeight w:val="154"/>
        </w:trPr>
        <w:tc>
          <w:tcPr>
            <w:tcW w:w="364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b w:val="1"/>
                <w:bCs w:val="1"/>
                <w:color w:val="auto"/>
              </w:rPr>
              <w:t>Balance as of March 31, 2021, as restated</w:t>
            </w:r>
          </w:p>
        </w:tc>
        <w:tc>
          <w:tcPr>
            <w:tcW w:w="1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3,292,200</w:t>
            </w: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330</w:t>
            </w: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(6,760,669)</w:t>
            </w: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(6,760,339)</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(2,202,161)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(2,202,161)</w:t>
            </w:r>
          </w:p>
        </w:tc>
        <w:tc>
          <w:tcPr>
            <w:tcW w:w="0" w:type="dxa"/>
            <w:vAlign w:val="bottom"/>
          </w:tcPr>
          <w:p>
            <w:pPr>
              <w:spacing w:after="0"/>
              <w:rPr>
                <w:sz w:val="1"/>
                <w:szCs w:val="1"/>
                <w:color w:val="auto"/>
              </w:rPr>
            </w:pPr>
          </w:p>
        </w:tc>
      </w:tr>
      <w:tr>
        <w:trPr>
          <w:trHeight w:val="154"/>
        </w:trPr>
        <w:tc>
          <w:tcPr>
            <w:tcW w:w="364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b w:val="1"/>
                <w:bCs w:val="1"/>
                <w:color w:val="auto"/>
              </w:rPr>
              <w:t>Balance as of June 30, 2021, as restated</w:t>
            </w:r>
          </w:p>
        </w:tc>
        <w:tc>
          <w:tcPr>
            <w:tcW w:w="12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3,292,200</w:t>
            </w: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330</w:t>
            </w:r>
          </w:p>
        </w:tc>
        <w:tc>
          <w:tcPr>
            <w:tcW w:w="3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(8,962,830)</w:t>
            </w:r>
          </w:p>
        </w:tc>
        <w:tc>
          <w:tcPr>
            <w:tcW w:w="3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(8,962,500)</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(330,829)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(330,829)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Balance as of September 30, 2021</w:t>
            </w: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208"/>
              <w:spacing w:after="0"/>
              <w:rPr>
                <w:sz w:val="20"/>
                <w:szCs w:val="20"/>
                <w:color w:val="auto"/>
              </w:rPr>
            </w:pPr>
            <w:r>
              <w:rPr>
                <w:rFonts w:ascii="Arial" w:cs="Arial" w:eastAsia="Arial" w:hAnsi="Arial"/>
                <w:sz w:val="14"/>
                <w:szCs w:val="14"/>
                <w:color w:val="auto"/>
                <w:w w:val="84"/>
              </w:rPr>
              <w:t>)</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64"/>
        </w:trPr>
        <w:tc>
          <w:tcPr>
            <w:tcW w:w="3640" w:type="dxa"/>
            <w:vAlign w:val="bottom"/>
            <w:vMerge w:val="continue"/>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3,292,200</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330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(9,293,659</w:t>
            </w:r>
          </w:p>
        </w:tc>
        <w:tc>
          <w:tcPr>
            <w:tcW w:w="340" w:type="dxa"/>
            <w:vAlign w:val="bottom"/>
            <w:vMerge w:val="continue"/>
          </w:tcPr>
          <w:p>
            <w:pPr>
              <w:spacing w:after="0"/>
              <w:rPr>
                <w:sz w:val="14"/>
                <w:szCs w:val="14"/>
                <w:color w:val="auto"/>
              </w:rPr>
            </w:pPr>
          </w:p>
        </w:tc>
        <w:tc>
          <w:tcPr>
            <w:tcW w:w="220" w:type="dxa"/>
            <w:vAlign w:val="bottom"/>
            <w:gridSpan w:val="2"/>
          </w:tcPr>
          <w:p>
            <w:pPr>
              <w:jc w:val="right"/>
              <w:ind w:right="84"/>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(9,293,329</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020" w:type="dxa"/>
            <w:vAlign w:val="bottom"/>
          </w:tcPr>
          <w:p>
            <w:pPr>
              <w:jc w:val="center"/>
              <w:ind w:left="2148"/>
              <w:spacing w:after="0"/>
              <w:rPr>
                <w:sz w:val="20"/>
                <w:szCs w:val="20"/>
                <w:color w:val="auto"/>
              </w:rPr>
            </w:pPr>
            <w:r>
              <w:rPr>
                <w:rFonts w:ascii="Arial" w:cs="Arial" w:eastAsia="Arial" w:hAnsi="Arial"/>
                <w:sz w:val="14"/>
                <w:szCs w:val="14"/>
                <w:b w:val="1"/>
                <w:bCs w:val="1"/>
                <w:color w:val="auto"/>
              </w:rPr>
              <w:t>SAB BIOTHERAPEUTICS, INC.</w:t>
            </w: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20" w:type="dxa"/>
            <w:vAlign w:val="bottom"/>
          </w:tcPr>
          <w:p>
            <w:pPr>
              <w:jc w:val="center"/>
              <w:ind w:left="2148"/>
              <w:spacing w:after="0"/>
              <w:rPr>
                <w:sz w:val="20"/>
                <w:szCs w:val="20"/>
                <w:color w:val="auto"/>
              </w:rPr>
            </w:pPr>
            <w:r>
              <w:rPr>
                <w:rFonts w:ascii="Arial" w:cs="Arial" w:eastAsia="Arial" w:hAnsi="Arial"/>
                <w:sz w:val="14"/>
                <w:szCs w:val="14"/>
                <w:color w:val="auto"/>
                <w:w w:val="96"/>
              </w:rPr>
              <w:t>(f/k/a Big Cypress Acquisition Corp.)</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jc w:val="center"/>
              <w:ind w:left="2148"/>
              <w:spacing w:after="0"/>
              <w:rPr>
                <w:sz w:val="20"/>
                <w:szCs w:val="20"/>
                <w:color w:val="auto"/>
              </w:rPr>
            </w:pPr>
            <w:r>
              <w:rPr>
                <w:rFonts w:ascii="Arial" w:cs="Arial" w:eastAsia="Arial" w:hAnsi="Arial"/>
                <w:sz w:val="14"/>
                <w:szCs w:val="14"/>
                <w:b w:val="1"/>
                <w:bCs w:val="1"/>
                <w:color w:val="auto"/>
              </w:rPr>
              <w:t>CONDENSED STATEMENT OF CASH FLOWS</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jc w:val="center"/>
              <w:ind w:left="2168"/>
              <w:spacing w:after="0"/>
              <w:rPr>
                <w:sz w:val="20"/>
                <w:szCs w:val="20"/>
                <w:color w:val="auto"/>
              </w:rPr>
            </w:pPr>
            <w:r>
              <w:rPr>
                <w:rFonts w:ascii="Arial" w:cs="Arial" w:eastAsia="Arial" w:hAnsi="Arial"/>
                <w:sz w:val="14"/>
                <w:szCs w:val="14"/>
                <w:b w:val="1"/>
                <w:bCs w:val="1"/>
                <w:color w:val="auto"/>
              </w:rPr>
              <w:t>NINE MONTHS ENDED SEPTEMBER 30, 2021</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20" w:type="dxa"/>
            <w:vAlign w:val="bottom"/>
          </w:tcPr>
          <w:p>
            <w:pPr>
              <w:jc w:val="center"/>
              <w:ind w:left="2148"/>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9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59"/>
              <w:spacing w:after="0"/>
              <w:rPr>
                <w:sz w:val="20"/>
                <w:szCs w:val="20"/>
                <w:color w:val="auto"/>
              </w:rPr>
            </w:pPr>
            <w:r>
              <w:rPr>
                <w:rFonts w:ascii="Arial" w:cs="Arial" w:eastAsia="Arial" w:hAnsi="Arial"/>
                <w:sz w:val="14"/>
                <w:szCs w:val="14"/>
                <w:color w:val="auto"/>
              </w:rPr>
              <w:t>440,230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ind w:left="280"/>
              <w:spacing w:after="0"/>
              <w:rPr>
                <w:sz w:val="20"/>
                <w:szCs w:val="20"/>
                <w:color w:val="auto"/>
              </w:rPr>
            </w:pPr>
            <w:r>
              <w:rPr>
                <w:rFonts w:ascii="Arial" w:cs="Arial" w:eastAsia="Arial" w:hAnsi="Arial"/>
                <w:sz w:val="14"/>
                <w:szCs w:val="14"/>
                <w:color w:val="auto"/>
              </w:rPr>
              <w:t>Interest earned on marketable securities held in Trust Account</w:t>
            </w:r>
          </w:p>
        </w:tc>
        <w:tc>
          <w:tcPr>
            <w:tcW w:w="80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color w:val="auto"/>
              </w:rPr>
              <w:t>(8,244)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Offering costs allocated to warrants</w:t>
            </w:r>
          </w:p>
        </w:tc>
        <w:tc>
          <w:tcPr>
            <w:tcW w:w="8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359,874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ind w:left="280"/>
              <w:spacing w:after="0"/>
              <w:rPr>
                <w:sz w:val="20"/>
                <w:szCs w:val="20"/>
                <w:color w:val="auto"/>
              </w:rPr>
            </w:pPr>
            <w:r>
              <w:rPr>
                <w:rFonts w:ascii="Arial" w:cs="Arial" w:eastAsia="Arial" w:hAnsi="Arial"/>
                <w:sz w:val="14"/>
                <w:szCs w:val="14"/>
                <w:color w:val="auto"/>
              </w:rPr>
              <w:t>Change in fair value of warrant liability</w:t>
            </w:r>
          </w:p>
        </w:tc>
        <w:tc>
          <w:tcPr>
            <w:tcW w:w="80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color w:val="auto"/>
              </w:rPr>
              <w:t>(1,495,871)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ind w:left="560"/>
              <w:spacing w:after="0"/>
              <w:rPr>
                <w:sz w:val="20"/>
                <w:szCs w:val="20"/>
                <w:color w:val="auto"/>
              </w:rPr>
            </w:pPr>
            <w:r>
              <w:rPr>
                <w:rFonts w:ascii="Arial" w:cs="Arial" w:eastAsia="Arial" w:hAnsi="Arial"/>
                <w:sz w:val="14"/>
                <w:szCs w:val="14"/>
                <w:color w:val="auto"/>
              </w:rPr>
              <w:t>Prepaid assets</w:t>
            </w:r>
          </w:p>
        </w:tc>
        <w:tc>
          <w:tcPr>
            <w:tcW w:w="80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4"/>
                <w:szCs w:val="14"/>
                <w:color w:val="auto"/>
              </w:rPr>
              <w:t>(100,484)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Accrued expenses</w:t>
            </w:r>
          </w:p>
        </w:tc>
        <w:tc>
          <w:tcPr>
            <w:tcW w:w="8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251,154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20" w:type="dxa"/>
            <w:vAlign w:val="bottom"/>
            <w:tcBorders>
              <w:top w:val="single" w:sz="8" w:color="CCEEFF"/>
              <w:bottom w:val="single" w:sz="8" w:color="CCEEFF"/>
            </w:tcBorders>
          </w:tcPr>
          <w:p>
            <w:pPr>
              <w:ind w:left="280"/>
              <w:spacing w:after="0" w:line="153" w:lineRule="exact"/>
              <w:rPr>
                <w:sz w:val="20"/>
                <w:szCs w:val="20"/>
                <w:color w:val="auto"/>
              </w:rPr>
            </w:pPr>
            <w:r>
              <w:rPr>
                <w:rFonts w:ascii="Arial" w:cs="Arial" w:eastAsia="Arial" w:hAnsi="Arial"/>
                <w:sz w:val="14"/>
                <w:szCs w:val="14"/>
                <w:b w:val="1"/>
                <w:bCs w:val="1"/>
                <w:color w:val="auto"/>
              </w:rPr>
              <w:t>Net cash used in operating activities</w:t>
            </w:r>
          </w:p>
        </w:tc>
        <w:tc>
          <w:tcPr>
            <w:tcW w:w="8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(553,341</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554" w:right="319" w:bottom="1440" w:gutter="0" w:footer="0" w:header="0"/>
        </w:sect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295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60260" cy="122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Proceeds from sale of Units, net of underwriting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60260" cy="1092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Proceeds from sale of Private Placement Units</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Proceeds from sale of representative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Repayment of promissory note – related party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(116,150,000)</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(116,150,000)</w:t>
      </w:r>
    </w:p>
    <w:p>
      <w:pPr>
        <w:spacing w:after="0" w:line="200" w:lineRule="exact"/>
        <w:rPr>
          <w:sz w:val="20"/>
          <w:szCs w:val="20"/>
          <w:color w:val="auto"/>
        </w:rPr>
      </w:pPr>
    </w:p>
    <w:p>
      <w:pPr>
        <w:spacing w:after="0" w:line="209"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113,470,500</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4,172,000</w:t>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2,105</w:t>
      </w:r>
    </w:p>
    <w:p>
      <w:pPr>
        <w:spacing w:after="0" w:line="1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(150,000)</w:t>
      </w:r>
    </w:p>
    <w:p>
      <w:pPr>
        <w:spacing w:after="0" w:line="30" w:lineRule="exact"/>
        <w:rPr>
          <w:sz w:val="20"/>
          <w:szCs w:val="20"/>
          <w:color w:val="auto"/>
        </w:rPr>
      </w:pPr>
    </w:p>
    <w:p>
      <w:pPr>
        <w:sectPr>
          <w:pgSz w:w="11900" w:h="16838" w:orient="portrait"/>
          <w:cols w:equalWidth="0" w:num="2">
            <w:col w:w="9700" w:space="720"/>
            <w:col w:w="860"/>
          </w:cols>
          <w:pgMar w:left="300" w:top="554"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Payment of deferred offering costs</w:t>
            </w:r>
          </w:p>
        </w:tc>
        <w:tc>
          <w:tcPr>
            <w:tcW w:w="7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(208,227)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20" w:type="dxa"/>
            <w:vAlign w:val="bottom"/>
            <w:tcBorders>
              <w:top w:val="single" w:sz="8" w:color="CCEEFF"/>
              <w:bottom w:val="single" w:sz="8" w:color="CCEEFF"/>
            </w:tcBorders>
          </w:tcPr>
          <w:p>
            <w:pPr>
              <w:ind w:left="420"/>
              <w:spacing w:after="0" w:line="153"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117,286,378</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4"/>
                <w:szCs w:val="14"/>
                <w:color w:val="auto"/>
              </w:rPr>
              <w:t>Net change in cash</w:t>
            </w:r>
          </w:p>
        </w:tc>
        <w:tc>
          <w:tcPr>
            <w:tcW w:w="7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beginning of period</w:t>
            </w: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84,836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end of the period</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667,873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9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7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Arial" w:cs="Arial" w:eastAsia="Arial" w:hAnsi="Arial"/>
                <w:sz w:val="14"/>
                <w:szCs w:val="14"/>
                <w:color w:val="auto"/>
              </w:rPr>
              <w:t>Initial value of common stock subject to possible redemption</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116,150,000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Initial classification of warrant liability</w:t>
            </w:r>
          </w:p>
        </w:tc>
        <w:tc>
          <w:tcPr>
            <w:tcW w:w="740" w:type="dxa"/>
            <w:vAlign w:val="bottom"/>
            <w:tcBorders>
              <w:top w:val="single" w:sz="8" w:color="auto"/>
              <w:bottom w:val="single" w:sz="8" w:color="auto"/>
            </w:tcBorders>
            <w:shd w:val="clear" w:color="auto" w:fill="CCEEFF"/>
          </w:tcPr>
          <w:p>
            <w:pPr>
              <w:jc w:val="right"/>
              <w:ind w:right="588"/>
              <w:spacing w:after="0" w:line="14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7,025,183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vMerge w:val="restart"/>
          </w:tcPr>
          <w:p>
            <w:pPr>
              <w:spacing w:after="0"/>
              <w:rPr>
                <w:sz w:val="20"/>
                <w:szCs w:val="20"/>
                <w:color w:val="auto"/>
              </w:rPr>
            </w:pPr>
            <w:r>
              <w:rPr>
                <w:rFonts w:ascii="Arial" w:cs="Arial" w:eastAsia="Arial" w:hAnsi="Arial"/>
                <w:sz w:val="14"/>
                <w:szCs w:val="14"/>
                <w:color w:val="auto"/>
              </w:rPr>
              <w:t>Deferred underwriters’ discount payable charged to additional paid-in capital</w:t>
            </w: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90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jc w:val="right"/>
              <w:ind w:right="588"/>
              <w:spacing w:after="0" w:line="144"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4,220,500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2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Accretion of common stock subject to possible redemptions</w:t>
            </w:r>
          </w:p>
        </w:tc>
        <w:tc>
          <w:tcPr>
            <w:tcW w:w="740" w:type="dxa"/>
            <w:vAlign w:val="bottom"/>
            <w:tcBorders>
              <w:bottom w:val="single" w:sz="8" w:color="auto"/>
            </w:tcBorders>
            <w:shd w:val="clear" w:color="auto" w:fill="CCEEFF"/>
          </w:tcPr>
          <w:p>
            <w:pPr>
              <w:jc w:val="right"/>
              <w:ind w:right="588"/>
              <w:spacing w:after="0" w:line="144"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12,523,705</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4"/>
          <w:szCs w:val="14"/>
          <w:b w:val="1"/>
          <w:bCs w:val="1"/>
          <w:color w:val="auto"/>
        </w:rPr>
        <w:t>SAB BIOTHERAPEUTICS,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(f/k/a Big Cypress Acquisition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Business Operations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September 30, 2021, Big Cypress Acquisition Corp. (the “Company”), our predecessor, was a blank check company incorporated in Delaware on November 12, 2020. The Company was formed for the purpose of effecting a merger, capital stock exchange, asset acquisition, stock purchase, reorganization or similar business combination with one or more businesses (“Business Combination”).</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the Business Combination (described in Note 10), the Company had one subsidiary, Big Cypress Merger Sub Inc., a direct, wholly-owned subsidiary of the Company incorporated in Delaware on June 17, 2021 (“Merger Sub”).</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As of September 30, 2021, the Company had not commenced any operations. All activity through September 30, 2021 relates to the Company’s formation and the Initial Public Offering (“IPO”) which is described below, and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24"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registration statement for the Company’s IPO was declared effective by the U.S. Securities and Exchange Commission (the “SEC”) on January 11, 2021 (the “Effective Date”). On January 14, 2021, the Company consummated the IPO of 11,500,000 units (the “Units”) and, with respect to the shares of common stock included in the Units sold (the “Public Shares”), which included the full exercise by the underwriters of the over-allotment option to purchase an additional 1,500,000 Units, at $10.00 per Unit, generating gross proceeds of $115,000,000, which is discussed in Note 4. Each Unit consists of one share of common stock, and one-half redeemable warrant to purchase one share of common stock at a price of $11.50 per whole share.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Simultaneously with the closing of the IPO, the Company consummated the sale of 417,200 units (the “Placement Units”), at a price of $10.00 per unit, in a private placement to Big Cypress Holdings LLC, a Delaware limited liability company which acted as the Company’s sponsor in connection with the IPO (the “Sponsor”), generating gross proceeds of $4,172,000, which is discussed in Note 5.</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Transaction costs of the IPO amounted to $6,108,360 consisting of $1,529,500 of underwriting fee, $4,220,500 of deferred underwriting fee, and $358,360 of other offering costs, and of which $359,874 were allocated to expense associated with the warrant liability.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Following the closing of the IPO on January 14, 2021, $116,150,000 ($10.10 per Unit) from the net offering proceeds of the sale of the Units in the IPO and the sale of the Placement Units was placed in a trust account (the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franchise and income tax obligations (less up to $100,000 of interest to pay dissolution expenses), the proceeds from this IPO and the sale of the Placement Units will not be released from the trust account until the earliest of (a) the completion of the Company’s initial business combination, (b) the redemption of any public shares properly submitted in connection with a stockholder vote to amend the Company’s amended and restated certificate of incorporation, and (c) the redemption of the Company’s public shares if the Company is unable to complete the initial business combination within 15 months (or up to 21 months) from the closing of this IPO, subject to applicable law. The proceeds deposited in the trust account could become subject to the claims of the Company’s creditors, if any, which could have priority over the claims of the Company’s public stockholders.</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will provide its public stockholders with the opportunity to redeem all or a portion of their public shares upon the completion of the initial business combination either (i) in connection with a stockholder meeting called to approve the initial business combination or (ii) by means of a tender offer. The decision as to whether the Company will seek stockholder approval of a proposed initial business combination or conduct a tender offer will be made by the Company, solely in its discretion.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4"/>
          <w:szCs w:val="14"/>
          <w:color w:val="auto"/>
        </w:rPr>
        <w:t>The Company will have 15 months (or up to 21 months) from the closing of the IPO on January 14, 2021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to pay its franchise and income taxes, divided by the number of then outstanding public shares, subject to applicable law and as further described in registration statement, and then seek to dissolve and liquidate.</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Sponsor, officers and directors have agreed to (i) waive their redemption rights with respect to their founder shares and placement shares in connection with the completion of the initial business combination, (ii) waive their redemption rights with respect to their founder shares and placement shares in connection with a stockholder vote to approve an amendment to the Company’s amended and restated certificate of incorporation, and (iii) waive their rights to liquidating distributions from the trust account with respect to their founder shares and placement shares if the Company fails to complete the initial business combination within the Combination Period.</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this offering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Management is continuing to evaluate the impact of the COVID-19 pandemic and has concluded that while it is reasonably possible that it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Restatement of Previously Issued Financial Statements</w:t>
      </w:r>
    </w:p>
    <w:p>
      <w:pPr>
        <w:spacing w:after="0" w:line="18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 connection with the preparation of the Company’s financial statements as of September 30, 2021, management determined it should restate certain of its previously reported financial statements. The Company previously determined the common stock subject to possible redemption to be equal to the redemption value of $10.10 per common stock while also taking into consideration its charter’s requirement that a redemption cannot result in net tangible assets being less than $5,000,001. Upon review of certain of its financial statements for the period ended September 30, 2021, the Company reevaluated the classification of the common stock and determined that the common stock issued during the Initial Public Offering and pursuant to the exercise of the underwriters’ overallotment can be redeemed or become redeemable subject to the occurrence of future events considered outside the Company’s control under ASC 480-10-S99. Therefore, management concluded that the carrying value should include all common stock subject to possible redemption, resulting in the common stock subject to possible redemption being classified as temporary equity in its entirety. As a result, management has noted a reclassification adjustment related to temporary equity and permanent equity. This resulted in a restatement to the initial carrying value of the common stock subject to possible redemption with the offset recorded to additional paid-in capital (to the extent available), retained earnings (accumulated deficit) and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4"/>
          <w:szCs w:val="14"/>
          <w:color w:val="auto"/>
        </w:rPr>
        <w:t>In connection with the change in presentation for the common stock subject to possible redemption, the Company also restated its earnings per share calculation to allocate net income (loss) evenly to common stock subject to redemption and those that are not subject to redemption. This presentation contemplates a Business Combination as the most likely outcome, in which case, both classes of common stock share pro rata in the income (loss)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There has been no change in the Company’s total assets, liabilities or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impact of the restatement on the Company’s financial statements is reflected in the following table:</w:t>
      </w:r>
    </w:p>
    <w:p>
      <w:pPr>
        <w:spacing w:after="0" w:line="193" w:lineRule="exact"/>
        <w:rPr>
          <w:sz w:val="20"/>
          <w:szCs w:val="20"/>
          <w:color w:val="auto"/>
        </w:rPr>
      </w:pPr>
    </w:p>
    <w:p>
      <w:pPr>
        <w:ind w:left="5920"/>
        <w:spacing w:after="0"/>
        <w:tabs>
          <w:tab w:leader="none" w:pos="7960" w:val="left"/>
          <w:tab w:leader="none" w:pos="9960" w:val="left"/>
        </w:tabs>
        <w:rPr>
          <w:sz w:val="20"/>
          <w:szCs w:val="20"/>
          <w:color w:val="auto"/>
        </w:rPr>
      </w:pPr>
      <w:r>
        <w:rPr>
          <w:rFonts w:ascii="Arial" w:cs="Arial" w:eastAsia="Arial" w:hAnsi="Arial"/>
          <w:sz w:val="14"/>
          <w:szCs w:val="14"/>
          <w:color w:val="auto"/>
        </w:rPr>
        <w:t>As Reported</w:t>
      </w:r>
      <w:r>
        <w:rPr>
          <w:sz w:val="20"/>
          <w:szCs w:val="20"/>
          <w:color w:val="auto"/>
        </w:rPr>
        <w:tab/>
      </w:r>
      <w:r>
        <w:rPr>
          <w:rFonts w:ascii="Arial" w:cs="Arial" w:eastAsia="Arial" w:hAnsi="Arial"/>
          <w:sz w:val="14"/>
          <w:szCs w:val="14"/>
          <w:color w:val="auto"/>
        </w:rPr>
        <w:t>Adjustment</w:t>
      </w:r>
      <w:r>
        <w:rPr>
          <w:sz w:val="20"/>
          <w:szCs w:val="20"/>
          <w:color w:val="auto"/>
        </w:rPr>
        <w:tab/>
      </w:r>
      <w:r>
        <w:rPr>
          <w:rFonts w:ascii="Arial" w:cs="Arial" w:eastAsia="Arial" w:hAnsi="Arial"/>
          <w:sz w:val="12"/>
          <w:szCs w:val="12"/>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13335</wp:posOffset>
            </wp:positionV>
            <wp:extent cx="364490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44900"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Balance Sheet as of January 14, 2021 (as revised in footnote 2 per form 10-Q filed on May 21,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subject to possible redemption</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101,131,827</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15,018,173</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116,150,000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w:t>
            </w:r>
          </w:p>
        </w:tc>
        <w:tc>
          <w:tcPr>
            <w:tcW w:w="5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479</w:t>
            </w:r>
          </w:p>
        </w:tc>
        <w:tc>
          <w:tcPr>
            <w:tcW w:w="5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(149)</w:t>
            </w: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52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5,359,507</w:t>
            </w:r>
          </w:p>
        </w:tc>
        <w:tc>
          <w:tcPr>
            <w:tcW w:w="520" w:type="dxa"/>
            <w:vAlign w:val="bottom"/>
          </w:tcPr>
          <w:p>
            <w:pPr>
              <w:spacing w:after="0"/>
              <w:rPr>
                <w:sz w:val="14"/>
                <w:szCs w:val="14"/>
                <w:color w:val="auto"/>
              </w:rPr>
            </w:pPr>
          </w:p>
        </w:tc>
        <w:tc>
          <w:tcPr>
            <w:tcW w:w="1500" w:type="dxa"/>
            <w:vAlign w:val="bottom"/>
            <w:gridSpan w:val="2"/>
          </w:tcPr>
          <w:p>
            <w:pPr>
              <w:jc w:val="right"/>
              <w:ind w:right="259"/>
              <w:spacing w:after="0"/>
              <w:rPr>
                <w:sz w:val="20"/>
                <w:szCs w:val="20"/>
                <w:color w:val="auto"/>
              </w:rPr>
            </w:pPr>
            <w:r>
              <w:rPr>
                <w:rFonts w:ascii="Arial" w:cs="Arial" w:eastAsia="Arial" w:hAnsi="Arial"/>
                <w:sz w:val="14"/>
                <w:szCs w:val="14"/>
                <w:color w:val="auto"/>
              </w:rPr>
              <w:t>(5,359,507)</w:t>
            </w:r>
          </w:p>
        </w:tc>
        <w:tc>
          <w:tcPr>
            <w:tcW w:w="52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5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(359,892)</w:t>
            </w:r>
          </w:p>
        </w:tc>
        <w:tc>
          <w:tcPr>
            <w:tcW w:w="5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(9,658,517)</w:t>
            </w:r>
          </w:p>
        </w:tc>
        <w:tc>
          <w:tcPr>
            <w:tcW w:w="5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(10,018,499)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Stockholders’ Equity (Deficit)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25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5,000,004</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(15,018,173</w:t>
            </w:r>
          </w:p>
        </w:tc>
        <w:tc>
          <w:tcPr>
            <w:tcW w:w="340" w:type="dxa"/>
            <w:vAlign w:val="bottom"/>
            <w:vMerge w:val="continue"/>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(10,018,169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Number of shares subject to redemption</w:t>
            </w: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10,013,052</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1,486,948</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11,500,000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as of March 31, 2021 (per form 10-Q filed on May 21, 2021)</w:t>
            </w: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4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subject to possible redemption</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104,389,656</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11,760,344</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116,150,000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42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w:t>
            </w:r>
          </w:p>
        </w:tc>
        <w:tc>
          <w:tcPr>
            <w:tcW w:w="5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445</w:t>
            </w:r>
          </w:p>
        </w:tc>
        <w:tc>
          <w:tcPr>
            <w:tcW w:w="5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(115)</w:t>
            </w: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52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2,035,336</w:t>
            </w:r>
          </w:p>
        </w:tc>
        <w:tc>
          <w:tcPr>
            <w:tcW w:w="520" w:type="dxa"/>
            <w:vAlign w:val="bottom"/>
          </w:tcPr>
          <w:p>
            <w:pPr>
              <w:spacing w:after="0"/>
              <w:rPr>
                <w:sz w:val="14"/>
                <w:szCs w:val="14"/>
                <w:color w:val="auto"/>
              </w:rPr>
            </w:pPr>
          </w:p>
        </w:tc>
        <w:tc>
          <w:tcPr>
            <w:tcW w:w="1500" w:type="dxa"/>
            <w:vAlign w:val="bottom"/>
            <w:gridSpan w:val="2"/>
          </w:tcPr>
          <w:p>
            <w:pPr>
              <w:jc w:val="right"/>
              <w:ind w:right="259"/>
              <w:spacing w:after="0"/>
              <w:rPr>
                <w:sz w:val="20"/>
                <w:szCs w:val="20"/>
                <w:color w:val="auto"/>
              </w:rPr>
            </w:pPr>
            <w:r>
              <w:rPr>
                <w:rFonts w:ascii="Arial" w:cs="Arial" w:eastAsia="Arial" w:hAnsi="Arial"/>
                <w:sz w:val="14"/>
                <w:szCs w:val="14"/>
                <w:color w:val="auto"/>
              </w:rPr>
              <w:t>(2,035,336)</w:t>
            </w:r>
          </w:p>
        </w:tc>
        <w:tc>
          <w:tcPr>
            <w:tcW w:w="52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5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2,964,224</w:t>
            </w:r>
          </w:p>
        </w:tc>
        <w:tc>
          <w:tcPr>
            <w:tcW w:w="5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(9,724,892)</w:t>
            </w:r>
          </w:p>
        </w:tc>
        <w:tc>
          <w:tcPr>
            <w:tcW w:w="5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(6,760,669)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Stockholders’ Equity (Deficit)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25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5,000,005</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(11,760,344</w:t>
            </w:r>
          </w:p>
        </w:tc>
        <w:tc>
          <w:tcPr>
            <w:tcW w:w="340" w:type="dxa"/>
            <w:vAlign w:val="bottom"/>
            <w:vMerge w:val="continue"/>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(6,760,339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Number of shares subject to redemption</w:t>
            </w: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10,335,609</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1,164,391</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11,500,000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Unaudited Statement of Operations for the three months ended March 31, 2021 (per form 10-Q filed on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092315"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2315" cy="1333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weighted average shares outstanding, common stock subject to</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redemption</w:t>
            </w: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3,532,050</w:t>
            </w:r>
          </w:p>
        </w:tc>
        <w:tc>
          <w:tcPr>
            <w:tcW w:w="5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9,538,777</w:t>
            </w:r>
          </w:p>
        </w:tc>
        <w:tc>
          <w:tcPr>
            <w:tcW w:w="5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13,070,827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Basic and diluted net income per common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0.84</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259"/>
              <w:spacing w:after="0"/>
              <w:rPr>
                <w:sz w:val="20"/>
                <w:szCs w:val="20"/>
                <w:color w:val="auto"/>
              </w:rPr>
            </w:pPr>
            <w:r>
              <w:rPr>
                <w:rFonts w:ascii="Arial" w:cs="Arial" w:eastAsia="Arial" w:hAnsi="Arial"/>
                <w:sz w:val="14"/>
                <w:szCs w:val="14"/>
                <w:color w:val="auto"/>
              </w:rPr>
              <w:t>(0,61)</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346"/>
        </w:trPr>
        <w:tc>
          <w:tcPr>
            <w:tcW w:w="5440" w:type="dxa"/>
            <w:vAlign w:val="bottom"/>
            <w:gridSpan w:val="2"/>
          </w:tcPr>
          <w:p>
            <w:pPr>
              <w:spacing w:after="0"/>
              <w:rPr>
                <w:sz w:val="20"/>
                <w:szCs w:val="20"/>
                <w:color w:val="auto"/>
              </w:rPr>
            </w:pPr>
            <w:r>
              <w:rPr>
                <w:rFonts w:ascii="Arial" w:cs="Arial" w:eastAsia="Arial" w:hAnsi="Arial"/>
                <w:sz w:val="14"/>
                <w:szCs w:val="14"/>
                <w:color w:val="auto"/>
              </w:rPr>
              <w:t>Balance Sheet as of June 30, 2021 (per form 10-Q filed on August 9, 2021)</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Common Stock subject to possible redemption ($)</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102,187,499</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13,962,501</w:t>
            </w: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116,150,000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w:t>
            </w:r>
          </w:p>
        </w:tc>
        <w:tc>
          <w:tcPr>
            <w:tcW w:w="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467</w:t>
            </w:r>
          </w:p>
        </w:tc>
        <w:tc>
          <w:tcPr>
            <w:tcW w:w="5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(137)</w:t>
            </w:r>
          </w:p>
        </w:tc>
        <w:tc>
          <w:tcPr>
            <w:tcW w:w="5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Additional Paid in Capital</w:t>
            </w:r>
          </w:p>
        </w:tc>
        <w:tc>
          <w:tcPr>
            <w:tcW w:w="80" w:type="dxa"/>
            <w:vAlign w:val="bottom"/>
          </w:tcPr>
          <w:p>
            <w:pPr>
              <w:spacing w:after="0"/>
              <w:rPr>
                <w:sz w:val="14"/>
                <w:szCs w:val="14"/>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4,237,471</w:t>
            </w:r>
          </w:p>
        </w:tc>
        <w:tc>
          <w:tcPr>
            <w:tcW w:w="520" w:type="dxa"/>
            <w:vAlign w:val="bottom"/>
          </w:tcPr>
          <w:p>
            <w:pPr>
              <w:spacing w:after="0"/>
              <w:rPr>
                <w:sz w:val="14"/>
                <w:szCs w:val="14"/>
                <w:color w:val="auto"/>
              </w:rPr>
            </w:pPr>
          </w:p>
        </w:tc>
        <w:tc>
          <w:tcPr>
            <w:tcW w:w="1500" w:type="dxa"/>
            <w:vAlign w:val="bottom"/>
            <w:gridSpan w:val="2"/>
          </w:tcPr>
          <w:p>
            <w:pPr>
              <w:jc w:val="right"/>
              <w:ind w:right="259"/>
              <w:spacing w:after="0"/>
              <w:rPr>
                <w:sz w:val="20"/>
                <w:szCs w:val="20"/>
                <w:color w:val="auto"/>
              </w:rPr>
            </w:pPr>
            <w:r>
              <w:rPr>
                <w:rFonts w:ascii="Arial" w:cs="Arial" w:eastAsia="Arial" w:hAnsi="Arial"/>
                <w:sz w:val="14"/>
                <w:szCs w:val="14"/>
                <w:color w:val="auto"/>
              </w:rPr>
              <w:t>(4,237,471)</w:t>
            </w:r>
          </w:p>
        </w:tc>
        <w:tc>
          <w:tcPr>
            <w:tcW w:w="520" w:type="dxa"/>
            <w:vAlign w:val="bottom"/>
          </w:tcPr>
          <w:p>
            <w:pPr>
              <w:spacing w:after="0"/>
              <w:rPr>
                <w:sz w:val="14"/>
                <w:szCs w:val="14"/>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762,063</w:t>
            </w:r>
          </w:p>
        </w:tc>
        <w:tc>
          <w:tcPr>
            <w:tcW w:w="5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(9,724,893)</w:t>
            </w:r>
          </w:p>
        </w:tc>
        <w:tc>
          <w:tcPr>
            <w:tcW w:w="5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(8,962,830)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Stockholders’ Equity (Deficit)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25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5,000,002</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(13,962,501</w:t>
            </w:r>
          </w:p>
        </w:tc>
        <w:tc>
          <w:tcPr>
            <w:tcW w:w="340" w:type="dxa"/>
            <w:vAlign w:val="bottom"/>
            <w:vMerge w:val="continue"/>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(8,962,500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Number of shares subject to redemption</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6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10,117,574</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1,382,426</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11,500,000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80" w:type="dxa"/>
            <w:vAlign w:val="bottom"/>
            <w:gridSpan w:val="5"/>
          </w:tcPr>
          <w:p>
            <w:pPr>
              <w:spacing w:after="0"/>
              <w:rPr>
                <w:sz w:val="20"/>
                <w:szCs w:val="20"/>
                <w:color w:val="auto"/>
              </w:rPr>
            </w:pPr>
            <w:r>
              <w:rPr>
                <w:rFonts w:ascii="Arial" w:cs="Arial" w:eastAsia="Arial" w:hAnsi="Arial"/>
                <w:sz w:val="14"/>
                <w:szCs w:val="14"/>
                <w:color w:val="auto"/>
                <w:w w:val="95"/>
              </w:rPr>
              <w:t>Unaudited Statement of Operations For the three and six months ended June 30, 2021 (per form 10-Q filed on August 9, 2021)</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Three months ended June 30, 2021</w:t>
            </w:r>
          </w:p>
        </w:tc>
        <w:tc>
          <w:tcPr>
            <w:tcW w:w="8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Basic and diluted weighted average shares outstanding, common stock subject to</w:t>
            </w: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40" w:type="dxa"/>
            <w:vAlign w:val="bottom"/>
            <w:gridSpan w:val="2"/>
          </w:tcPr>
          <w:p>
            <w:pPr>
              <w:spacing w:after="0"/>
              <w:rPr>
                <w:sz w:val="20"/>
                <w:szCs w:val="20"/>
                <w:color w:val="auto"/>
              </w:rPr>
            </w:pPr>
            <w:r>
              <w:rPr>
                <w:rFonts w:ascii="Arial" w:cs="Arial" w:eastAsia="Arial" w:hAnsi="Arial"/>
                <w:sz w:val="14"/>
                <w:szCs w:val="14"/>
                <w:color w:val="auto"/>
              </w:rPr>
              <w:t>redemption</w:t>
            </w:r>
          </w:p>
        </w:tc>
        <w:tc>
          <w:tcPr>
            <w:tcW w:w="80" w:type="dxa"/>
            <w:vAlign w:val="bottom"/>
          </w:tcPr>
          <w:p>
            <w:pPr>
              <w:spacing w:after="0"/>
              <w:rPr>
                <w:sz w:val="15"/>
                <w:szCs w:val="15"/>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4,443,103</w:t>
            </w:r>
          </w:p>
        </w:tc>
        <w:tc>
          <w:tcPr>
            <w:tcW w:w="520" w:type="dxa"/>
            <w:vAlign w:val="bottom"/>
          </w:tcPr>
          <w:p>
            <w:pPr>
              <w:spacing w:after="0"/>
              <w:rPr>
                <w:sz w:val="15"/>
                <w:szCs w:val="15"/>
                <w:color w:val="auto"/>
              </w:rPr>
            </w:pPr>
          </w:p>
        </w:tc>
        <w:tc>
          <w:tcPr>
            <w:tcW w:w="1500" w:type="dxa"/>
            <w:vAlign w:val="bottom"/>
            <w:gridSpan w:val="2"/>
          </w:tcPr>
          <w:p>
            <w:pPr>
              <w:jc w:val="right"/>
              <w:ind w:right="299"/>
              <w:spacing w:after="0"/>
              <w:rPr>
                <w:sz w:val="20"/>
                <w:szCs w:val="20"/>
                <w:color w:val="auto"/>
              </w:rPr>
            </w:pPr>
            <w:r>
              <w:rPr>
                <w:rFonts w:ascii="Arial" w:cs="Arial" w:eastAsia="Arial" w:hAnsi="Arial"/>
                <w:sz w:val="14"/>
                <w:szCs w:val="14"/>
                <w:color w:val="auto"/>
              </w:rPr>
              <w:t>10,349,097</w:t>
            </w:r>
          </w:p>
        </w:tc>
        <w:tc>
          <w:tcPr>
            <w:tcW w:w="520" w:type="dxa"/>
            <w:vAlign w:val="bottom"/>
          </w:tcPr>
          <w:p>
            <w:pPr>
              <w:spacing w:after="0"/>
              <w:rPr>
                <w:sz w:val="15"/>
                <w:szCs w:val="15"/>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14,792,000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(0.50)</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0.35</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Six months ended June 30, 2021</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Basic and diluted weighted average shares outstanding, common stock subject to</w:t>
            </w: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40" w:type="dxa"/>
            <w:vAlign w:val="bottom"/>
            <w:gridSpan w:val="2"/>
          </w:tcPr>
          <w:p>
            <w:pPr>
              <w:spacing w:after="0"/>
              <w:rPr>
                <w:sz w:val="20"/>
                <w:szCs w:val="20"/>
                <w:color w:val="auto"/>
              </w:rPr>
            </w:pPr>
            <w:r>
              <w:rPr>
                <w:rFonts w:ascii="Arial" w:cs="Arial" w:eastAsia="Arial" w:hAnsi="Arial"/>
                <w:sz w:val="14"/>
                <w:szCs w:val="14"/>
                <w:color w:val="auto"/>
              </w:rPr>
              <w:t>redemption</w:t>
            </w:r>
          </w:p>
        </w:tc>
        <w:tc>
          <w:tcPr>
            <w:tcW w:w="80" w:type="dxa"/>
            <w:vAlign w:val="bottom"/>
          </w:tcPr>
          <w:p>
            <w:pPr>
              <w:spacing w:after="0"/>
              <w:rPr>
                <w:sz w:val="15"/>
                <w:szCs w:val="15"/>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4"/>
                <w:szCs w:val="14"/>
                <w:color w:val="auto"/>
              </w:rPr>
              <w:t>4,162,957</w:t>
            </w:r>
          </w:p>
        </w:tc>
        <w:tc>
          <w:tcPr>
            <w:tcW w:w="520" w:type="dxa"/>
            <w:vAlign w:val="bottom"/>
          </w:tcPr>
          <w:p>
            <w:pPr>
              <w:spacing w:after="0"/>
              <w:rPr>
                <w:sz w:val="15"/>
                <w:szCs w:val="15"/>
                <w:color w:val="auto"/>
              </w:rPr>
            </w:pPr>
          </w:p>
        </w:tc>
        <w:tc>
          <w:tcPr>
            <w:tcW w:w="1500" w:type="dxa"/>
            <w:vAlign w:val="bottom"/>
            <w:gridSpan w:val="2"/>
          </w:tcPr>
          <w:p>
            <w:pPr>
              <w:jc w:val="right"/>
              <w:ind w:right="299"/>
              <w:spacing w:after="0"/>
              <w:rPr>
                <w:sz w:val="20"/>
                <w:szCs w:val="20"/>
                <w:color w:val="auto"/>
              </w:rPr>
            </w:pPr>
            <w:r>
              <w:rPr>
                <w:rFonts w:ascii="Arial" w:cs="Arial" w:eastAsia="Arial" w:hAnsi="Arial"/>
                <w:sz w:val="14"/>
                <w:szCs w:val="14"/>
                <w:color w:val="auto"/>
              </w:rPr>
              <w:t>9,773,212</w:t>
            </w:r>
          </w:p>
        </w:tc>
        <w:tc>
          <w:tcPr>
            <w:tcW w:w="520" w:type="dxa"/>
            <w:vAlign w:val="bottom"/>
          </w:tcPr>
          <w:p>
            <w:pPr>
              <w:spacing w:after="0"/>
              <w:rPr>
                <w:sz w:val="15"/>
                <w:szCs w:val="15"/>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4"/>
                <w:szCs w:val="14"/>
                <w:color w:val="auto"/>
              </w:rPr>
              <w:t>13,936,269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0.18</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(0.12)</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740"/>
              <w:spacing w:after="0"/>
              <w:rPr>
                <w:sz w:val="20"/>
                <w:szCs w:val="20"/>
                <w:color w:val="auto"/>
              </w:rPr>
            </w:pPr>
            <w:r>
              <w:rPr>
                <w:rFonts w:ascii="Arial" w:cs="Arial" w:eastAsia="Arial" w:hAnsi="Arial"/>
                <w:sz w:val="14"/>
                <w:szCs w:val="14"/>
                <w:color w:val="auto"/>
                <w:w w:val="95"/>
              </w:rPr>
              <w:t>F-8</w:t>
            </w: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8"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color w:val="auto"/>
        </w:rPr>
        <w:t>Note 3 —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10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accompanying unaudited condensed financial statements should be read in conjunction with the Company’s Annual Report on Form 10-K for the year ended December 31, 2020 as filed with the SEC on April 2, 2021, which contains the audited financial statements and notes thereto. The interim results for the three months and nine months ended September 30, 2021 are not necessarily indicative of the results to be expected for the year ending December 31, 2021 or for any future interim periods.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Marketable Securities Held in Trust Account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At September 30, 2021, substantially all of the assets held in the Trust Account were held in money market funds which invest U.S. Treasury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Warrant Liabilities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evaluated the Public Warrants and Private Placement Warrants (each as defined herein and collectively, “Warrants”, which are discussed in Note 2, Note 4, Note 5 and Note 9) in accordance with ASC 815-40, “Derivatives and Hedging — Contracts in Entity’s Own Equity”, and concluded that a provision in the Warrant Agreement related to certain tender or exchange offers precludes the Warrants from being accounted for as components of equity. As the Warrants meet the definition of a derivative as contemplated in ASC 815, the Warrants are recorded as derivative liabilities on the Condensed Balance Sheet and measured at fair value at inception (on the date of the IPO) and at each reporting date in accordance with ASC 820, “Fair Value Measurement”, with changes in fair value recognized in the Condensed Statement of Operations in the period of change.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211D1E"/>
        </w:rPr>
        <w:t>Offering Costs Associated with the Initial Public Offering</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complies with the requirements of the ASC 340-10-S99-1. 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common stock were charged to temporary equity upon the completion of the Initial Public Offering. Transaction costs amounted to $6,108,360, of which $359,874 were allocated to expense associated with the warrant liability.</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Subject to Possible Redemption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All of the 11,500,000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the common stock reflected on the balance sheet are reconciled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4"/>
                <w:szCs w:val="14"/>
                <w:color w:val="auto"/>
              </w:rPr>
              <w:t>Gross proceeds from IPO</w:t>
            </w:r>
          </w:p>
        </w:tc>
        <w:tc>
          <w:tcPr>
            <w:tcW w:w="7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116,150,000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Pr>
          <w:p>
            <w:pPr>
              <w:spacing w:after="0"/>
              <w:rPr>
                <w:sz w:val="20"/>
                <w:szCs w:val="20"/>
                <w:color w:val="auto"/>
              </w:rPr>
            </w:pPr>
            <w:r>
              <w:rPr>
                <w:rFonts w:ascii="Arial" w:cs="Arial" w:eastAsia="Arial" w:hAnsi="Arial"/>
                <w:sz w:val="14"/>
                <w:szCs w:val="14"/>
                <w:color w:val="auto"/>
              </w:rPr>
              <w:t>Less:</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allocated to Public Warrants</w:t>
            </w:r>
          </w:p>
        </w:tc>
        <w:tc>
          <w:tcPr>
            <w:tcW w:w="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(6,775,220)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20" w:type="dxa"/>
            <w:vAlign w:val="bottom"/>
          </w:tcPr>
          <w:p>
            <w:pPr>
              <w:ind w:left="120"/>
              <w:spacing w:after="0"/>
              <w:rPr>
                <w:sz w:val="20"/>
                <w:szCs w:val="20"/>
                <w:color w:val="auto"/>
              </w:rPr>
            </w:pPr>
            <w:r>
              <w:rPr>
                <w:rFonts w:ascii="Arial" w:cs="Arial" w:eastAsia="Arial" w:hAnsi="Arial"/>
                <w:sz w:val="14"/>
                <w:szCs w:val="14"/>
                <w:color w:val="auto"/>
              </w:rPr>
              <w:t>Common stock issuance costs</w:t>
            </w:r>
          </w:p>
        </w:tc>
        <w:tc>
          <w:tcPr>
            <w:tcW w:w="74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(5,748,485)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Plus:</w:t>
            </w:r>
          </w:p>
        </w:tc>
        <w:tc>
          <w:tcPr>
            <w:tcW w:w="7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020" w:type="dxa"/>
            <w:vAlign w:val="bottom"/>
          </w:tcPr>
          <w:p>
            <w:pPr>
              <w:ind w:left="120"/>
              <w:spacing w:after="0"/>
              <w:rPr>
                <w:sz w:val="20"/>
                <w:szCs w:val="20"/>
                <w:color w:val="auto"/>
              </w:rPr>
            </w:pPr>
            <w:r>
              <w:rPr>
                <w:rFonts w:ascii="Arial" w:cs="Arial" w:eastAsia="Arial" w:hAnsi="Arial"/>
                <w:sz w:val="14"/>
                <w:szCs w:val="14"/>
                <w:color w:val="auto"/>
              </w:rPr>
              <w:t>Accretion of carrying value to redemption value</w:t>
            </w:r>
          </w:p>
        </w:tc>
        <w:tc>
          <w:tcPr>
            <w:tcW w:w="74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12,523,705</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90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020" w:type="dxa"/>
            <w:vAlign w:val="bottom"/>
          </w:tcPr>
          <w:p>
            <w:pPr>
              <w:spacing w:after="0"/>
              <w:rPr>
                <w:sz w:val="20"/>
                <w:szCs w:val="20"/>
                <w:color w:val="auto"/>
              </w:rPr>
            </w:pPr>
            <w:r>
              <w:rPr>
                <w:rFonts w:ascii="Arial" w:cs="Arial" w:eastAsia="Arial" w:hAnsi="Arial"/>
                <w:sz w:val="14"/>
                <w:szCs w:val="14"/>
                <w:b w:val="1"/>
                <w:bCs w:val="1"/>
                <w:color w:val="auto"/>
              </w:rPr>
              <w:t>Common stock subject to possible redemption</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116,150,000</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Taxes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The deferred tax assets were deemed to be de minimis as of September 30, 2021 and December 31, 2020.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23" w:name="page124"/>
    <w:bookmarkEnd w:id="123"/>
    <w:p>
      <w:pPr>
        <w:jc w:val="both"/>
        <w:spacing w:after="0" w:line="301" w:lineRule="auto"/>
        <w:rPr>
          <w:sz w:val="20"/>
          <w:szCs w:val="20"/>
          <w:color w:val="auto"/>
        </w:rPr>
      </w:pPr>
      <w:r>
        <w:rPr>
          <w:rFonts w:ascii="Arial" w:cs="Arial" w:eastAsia="Arial" w:hAnsi="Arial"/>
          <w:sz w:val="13"/>
          <w:szCs w:val="13"/>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recognizes accrued interest and penalties related to unrecognized tax benefits as income tax expense. There were no unrecognized tax benefits and no amounts accrued for interest and penalties as of September 30, 2021 and December 31, 2020. The Company is currently not aware of any issues under review that could result in significant payments, accruals or material deviation from its position. The Company has identified the United States as its only “major” tax jurisdiction. The Company is subject to income tax examinations by major taxing authorities since inception.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The provision for income taxes was deemed to be de minimis for the period ended September 30, 2021.</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(Loss) Per Common Share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complies with accounting and disclosure requirements of FASB ASC Topic 260, Earnings Per Share. Net loss per share is computed by dividing net loss by the weighted average number of shares of common stock outstanding during the period. The Company has not considered the effect of any warrants sold in the Initial Public Offering and the private placement to purchase 5,958,600 shares of common stock in the calculation of diluted loss per share, since the exercise of the warrants are contingent upon the occurrence of future events. As a result, diluted net loss per common share is the same as basic net loss per common share for the period presented. Accretion of the carrying value of common stock to redemption value is excluded from net income per ordinary share because the redemption value approximates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a reconciliation of the numerator and denominator used to compute basic and diluted net income (loss) 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income (loss) per share:</w:t>
            </w:r>
          </w:p>
        </w:tc>
        <w:tc>
          <w:tcPr>
            <w:tcW w:w="1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Pr>
          <w:p>
            <w:pPr>
              <w:ind w:left="120"/>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Allocation of 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(330,829)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440,230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Pr>
          <w:p>
            <w:pPr>
              <w:ind w:left="120"/>
              <w:spacing w:after="0"/>
              <w:rPr>
                <w:sz w:val="20"/>
                <w:szCs w:val="20"/>
                <w:color w:val="auto"/>
              </w:rPr>
            </w:pPr>
            <w:r>
              <w:rPr>
                <w:rFonts w:ascii="Arial" w:cs="Arial" w:eastAsia="Arial" w:hAnsi="Arial"/>
                <w:sz w:val="14"/>
                <w:szCs w:val="14"/>
                <w:color w:val="auto"/>
              </w:rPr>
              <w:t>Denominator:</w:t>
            </w: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shares outstanding</w:t>
            </w:r>
          </w:p>
        </w:tc>
        <w:tc>
          <w:tcPr>
            <w:tcW w:w="16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14,792,200</w:t>
            </w:r>
          </w:p>
        </w:tc>
        <w:tc>
          <w:tcPr>
            <w:tcW w:w="16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14,224,714</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5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income (loss) per share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2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Concentration of Credit Risk</w:t>
            </w: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follows the guidance in ASC 820, “Fair Value Measurement,” for its financial assets and liabilities that are re-measured and reported at fair value at each reporting period, and non-financial assets and liabilities that are re-measured and reported at fair value at least annually.</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4" w:name="page125"/>
    <w:bookmarkEnd w:id="124"/>
    <w:p>
      <w:pPr>
        <w:jc w:val="both"/>
        <w:ind w:left="780" w:hanging="772"/>
        <w:spacing w:after="0" w:line="271" w:lineRule="auto"/>
        <w:tabs>
          <w:tab w:leader="none" w:pos="760" w:val="left"/>
        </w:tabs>
        <w:rPr>
          <w:sz w:val="20"/>
          <w:szCs w:val="20"/>
          <w:color w:val="auto"/>
        </w:rPr>
      </w:pPr>
      <w:r>
        <w:rPr>
          <w:rFonts w:ascii="Arial" w:cs="Arial" w:eastAsia="Arial" w:hAnsi="Arial"/>
          <w:sz w:val="14"/>
          <w:szCs w:val="14"/>
          <w:color w:val="auto"/>
        </w:rPr>
        <w:t>Level 1 —</w:t>
        <w:tab/>
        <w:t>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valuation of these securities does not entail a significant degree of judgment.</w:t>
      </w:r>
    </w:p>
    <w:p>
      <w:pPr>
        <w:spacing w:after="0" w:line="141" w:lineRule="exact"/>
        <w:rPr>
          <w:sz w:val="20"/>
          <w:szCs w:val="20"/>
          <w:color w:val="auto"/>
        </w:rPr>
      </w:pPr>
    </w:p>
    <w:p>
      <w:pPr>
        <w:jc w:val="both"/>
        <w:ind w:left="780" w:hanging="772"/>
        <w:spacing w:after="0" w:line="286" w:lineRule="auto"/>
        <w:tabs>
          <w:tab w:leader="none" w:pos="760" w:val="left"/>
        </w:tabs>
        <w:rPr>
          <w:sz w:val="20"/>
          <w:szCs w:val="20"/>
          <w:color w:val="auto"/>
        </w:rPr>
      </w:pPr>
      <w:r>
        <w:rPr>
          <w:rFonts w:ascii="Arial" w:cs="Arial" w:eastAsia="Arial" w:hAnsi="Arial"/>
          <w:sz w:val="14"/>
          <w:szCs w:val="14"/>
          <w:color w:val="auto"/>
        </w:rPr>
        <w:t>Level 2 —</w:t>
        <w:tab/>
        <w:t>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market through correlation or other means.</w:t>
      </w:r>
    </w:p>
    <w:p>
      <w:pPr>
        <w:spacing w:after="0" w:line="13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Level 3 —</w:t>
      </w:r>
      <w:r>
        <w:rPr>
          <w:sz w:val="20"/>
          <w:szCs w:val="20"/>
          <w:color w:val="auto"/>
        </w:rPr>
        <w:tab/>
      </w:r>
      <w:r>
        <w:rPr>
          <w:rFonts w:ascii="Arial" w:cs="Arial" w:eastAsia="Arial" w:hAnsi="Arial"/>
          <w:sz w:val="12"/>
          <w:szCs w:val="12"/>
          <w:color w:val="auto"/>
        </w:rPr>
        <w:t>Valuations based on inputs that are unobservable and significant to the overall fair value measurement.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See Note 9 for additional information on assets and liabilities measured at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Recently Adopted Accounting Standards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231F20"/>
        </w:rPr>
        <w:t>In August 2020, the FASB issued ASU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Management does not believe that any recently issued, but not effective, accounting standards, if currently adopted, would have a material effect on the Company’s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Initial Public Offering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Units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14, 2021, the Company initially sold 11,500,000 Units, at a purchase price of $10.00 per Unit, which includes the full exercise by the underwriters of the over-allotment option to purchase an additional 1,500,000 Units, at a purchase price of $10.00 per Unit. Each Unit consists of one share of common stock, and one-half warrant to purchase one share of common stock (the “Public Warrants”).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Warrants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Each whole Warrant entitles the holder to purchase one share of the Company’s common stock at a price of $11.50 per share, subject to adjustment as discussed herein. The Warrants will become exercisable on the later of 12 months from the closing of this offering or 30 days after the completion of its initial business combination, and will expire five years after the completion of the Company’s initial business combination, at 5:00 p.m., New York City time, or earlier upon redemption or liquidation.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Company’s board of directors and, in the case of any such issuance to the Company’s sponsor or its affiliates, without taking into account any founder shares held by the Company’s sponsor or its affiliates,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common stock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5" w:name="page126"/>
    <w:bookmarkEnd w:id="125"/>
    <w:p>
      <w:pPr>
        <w:jc w:val="both"/>
        <w:spacing w:after="0" w:line="262" w:lineRule="auto"/>
        <w:rPr>
          <w:sz w:val="20"/>
          <w:szCs w:val="20"/>
          <w:color w:val="auto"/>
        </w:rPr>
      </w:pPr>
      <w:r>
        <w:rPr>
          <w:rFonts w:ascii="Arial" w:cs="Arial" w:eastAsia="Arial" w:hAnsi="Arial"/>
          <w:sz w:val="14"/>
          <w:szCs w:val="14"/>
          <w:color w:val="auto"/>
        </w:rPr>
        <w:t>The Company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is current. No warrant will be exercisable and the Company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Once the warrants become exercisable, the Company may call the warrants for redemption:</w:t>
      </w:r>
    </w:p>
    <w:p>
      <w:pPr>
        <w:spacing w:after="0" w:line="182" w:lineRule="exact"/>
        <w:rPr>
          <w:sz w:val="20"/>
          <w:szCs w:val="20"/>
          <w:color w:val="auto"/>
        </w:rPr>
      </w:pPr>
    </w:p>
    <w:p>
      <w:pPr>
        <w:ind w:left="520" w:hanging="257"/>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whole and not in part;</w:t>
      </w:r>
    </w:p>
    <w:p>
      <w:pPr>
        <w:spacing w:after="0" w:line="20" w:lineRule="exact"/>
        <w:rPr>
          <w:rFonts w:ascii="Arial" w:cs="Arial" w:eastAsia="Arial" w:hAnsi="Arial"/>
          <w:sz w:val="14"/>
          <w:szCs w:val="14"/>
          <w:color w:val="auto"/>
        </w:rPr>
      </w:pPr>
    </w:p>
    <w:p>
      <w:pPr>
        <w:ind w:left="520" w:hanging="257"/>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at a price of $0.01 per warrant;</w:t>
      </w:r>
    </w:p>
    <w:p>
      <w:pPr>
        <w:spacing w:after="0" w:line="10" w:lineRule="exact"/>
        <w:rPr>
          <w:rFonts w:ascii="Arial" w:cs="Arial" w:eastAsia="Arial" w:hAnsi="Arial"/>
          <w:sz w:val="14"/>
          <w:szCs w:val="14"/>
          <w:color w:val="auto"/>
        </w:rPr>
      </w:pPr>
    </w:p>
    <w:p>
      <w:pPr>
        <w:ind w:left="520" w:hanging="257"/>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upon not less than 30 days’ prior written notice of redemption (the “30-day redemption period”) to each warrant holder; and</w:t>
      </w:r>
    </w:p>
    <w:p>
      <w:pPr>
        <w:spacing w:after="0" w:line="10" w:lineRule="exact"/>
        <w:rPr>
          <w:rFonts w:ascii="Arial" w:cs="Arial" w:eastAsia="Arial" w:hAnsi="Arial"/>
          <w:sz w:val="14"/>
          <w:szCs w:val="14"/>
          <w:color w:val="auto"/>
        </w:rPr>
      </w:pPr>
    </w:p>
    <w:p>
      <w:pPr>
        <w:ind w:left="520" w:hanging="257"/>
        <w:spacing w:after="0" w:line="311" w:lineRule="auto"/>
        <w:tabs>
          <w:tab w:leader="none" w:pos="5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if, and only if, the reported last sale price of the common stock equals or exceeds $18.00 per share (as adjusted for stock splits, stock dividends, reorganizations, recapitalizations and the like) for any 20 trading days within a 30-trading day period ending three business days before the Company send the notice of redemption to the warrant holders.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If the Company calls the warrants for redemption as described above, the management will have the option to require any holder that wishes to exercise its warrant to do so on a “cashless basis.” If the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warrants.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Private Placement</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Simultaneously with the closing of the IPO, the Sponsor purchased an aggregate of 417,200 Placement Units, at a price of $10.00 per Placement Unit, for an aggregate purchase price of $4,172,000, in a private placement. A portion of the proceeds from the private placement was added to the proceeds from the IPO held in the Trust.</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Each Placement Unit was identical to the Units sold in the IPO, except for the placement warrants (“Placement Warrants”). The Placement Warrants and the common stock issuable upon the exercise of the Placement Warrants will not be transferable, assignable or saleable until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 If the Company does not complete its initial business combination within 15 months (or up to 21 months) from the closing of this IPO, the proceeds from the sale of the Placement Units held in the trust account will be used to fund the redemption of its public shares (subject to the requirements of applicable law) and the Placement Warrants will expire worthless.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Related Party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Founder Shares</w:t>
      </w:r>
    </w:p>
    <w:p>
      <w:pPr>
        <w:spacing w:after="0" w:line="186"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On November 12, 2020, the Company issued 2,156,250 shares of common stock to the Sponsor for $25,000 in cash, or approximately $0.012 per share, in connection with formation. On December 7, 2020, the Sponsor forfeited 161,719 founder shares to the Company and Ladenburg Thalmann &amp; Co. Inc., the representative of the underwriters, and certain of its employees (“Ladenburg”) purchased from the Company an aggregate of 161,719 representative shares at an average purchase price of approximately $0.012 per share, for an aggregate purchase price of $1,875.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4"/>
          <w:szCs w:val="14"/>
          <w:color w:val="auto"/>
        </w:rPr>
        <w:t>On January 3, 2021, the Company effected a stock dividend of 1/3 of a share of common stock for every share of common stock outstanding, resulting in an aggregate of 2,875,000 founder shares outstanding (including up to 375,000 shares subject to forfeiture to the extent that the underwriters’ over-allotment was not exercised in full or in part). As a result of the underwriters’ election to fully exercise of their over-allotment option on January 14, 2021, the 375,000 shares are no longer subject to forfeiture.</w:t>
      </w:r>
    </w:p>
    <w:p>
      <w:pPr>
        <w:spacing w:after="0" w:line="14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As a result, the Sponsor currently owns 2,630,625 shares.</w:t>
      </w:r>
    </w:p>
    <w:p>
      <w:pPr>
        <w:spacing w:after="0" w:line="10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Sponsor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Representative Shares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December 7, 2020, the Sponsor forfeited 161,719 founder shares to the Company and Ladenburg and certain of its employees purchased from the Company an aggregate of 161,719 representative shares at an average purchase price of approximately $0.012 per share, for an aggregate purchase price of $1,875. 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Following the 1/3 common stock dividend effected January 3, 2020 (as described herein), Ladenburg and certain of its employees now hold an aggregate of 244,375 representative shares (of which up to 31,875 were subject to forfeiture). As a result of the underwriters’ election to fully exercise of their over-allotment option, the 31,875 shares are no longer subject to forfeiture.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Ladenburg and certain of its employees have entered into a subscription agreement with the Company, pursuant to which they have agreed to (i) waive their redemption rights with respect to their representative shares, as applicable, and public shares in connection with the completion of our initial business combination, (ii) waive their redemption rights with respect to their representative shares, as applicable, (iii) waive their rights to liquidating distributions from the trust account with respect to their representative shares if the Company fails to complete the initial business combination within the Combination Period.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Promissory Note — Related Party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November 19, 2020, Company issued an unsecured promissory note to the Sponsor for an aggregate of up to $250,000 to cover expenses related to the IPO. This loan was non-interest bearing and payable on the earlier of March 31, 2021 or the completion of the IPO. As of December 31, 2020, the Company had drawn down $150,000 under the promissory note. On January 14, 2021, the Company paid the $150,000 balance on the note from the proceeds of the IPO.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Party Loans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units at a price of $10.00 per unit at the option of the lender, upon consummation of the Company’s Initial Business Combination. The units would be identical to the Placement Units. At September 30, 2021, no Working Capital Loans were outstanding.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color w:val="auto"/>
        </w:rPr>
        <w:t>Administrative Service Fee</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agreed to pay an affiliate of the Company’s Sponsor a monthly fee of an aggregate of $10,000 for office space, utilities and secretarial and administrative support. Upon completion of the Company’s Business Combination or its liquidation, the Company will cease paying these monthly fees. For the three and nine months ended September 30, 2021, the Company has recorded $30,000 and $90,000 in service fee expense,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Underwriting Agreement</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 had a 45-day option from the date of the IPO to purchase up to an aggregate of 1,500,000 additional Units at the public offering price less the underwriting commissions to cover over-allotments, if any. On January 14, 2021, the underwriter fully exercised its over-allotment option.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Upon consummation of the IPO on January 14, 2021, the underwriters were paid a cash underwriting fee of 1.33% of the gross proceeds of the IPO, or $1,529,500 in the aggregate.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are entitled to deferred underwriting fee of 3.67% of the gross proceeds of the IPO, or $4,220,500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holders of the founder shares, representative shares, placement units, and units that may be issued upon conversion of working capital loans will have registration rights to require the Company to register a sale of any of its securities held by them pursuant to a registration rights agreement to be signed prior to or on the effective date of this offering. These holders will be entitled to make up to three demands, excluding short form registration demands, that the Company registers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Stockholders’ Equity</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 xml:space="preserve">Preferred Stock </w:t>
      </w:r>
      <w:r>
        <w:rPr>
          <w:rFonts w:ascii="Arial" w:cs="Arial" w:eastAsia="Arial" w:hAnsi="Arial"/>
          <w:sz w:val="14"/>
          <w:szCs w:val="14"/>
          <w:color w:val="auto"/>
        </w:rPr>
        <w:t>— The Company is authorized to issue a total of 1,000,000 preferred shares at par value of $0.0001 each. At September 30, 2021 and December 31, 2020, there were no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preferred stock issued or outstanding.</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 xml:space="preserve">Common Stock </w:t>
      </w:r>
      <w:r>
        <w:rPr>
          <w:rFonts w:ascii="Arial" w:cs="Arial" w:eastAsia="Arial" w:hAnsi="Arial"/>
          <w:sz w:val="14"/>
          <w:szCs w:val="14"/>
          <w:color w:val="auto"/>
        </w:rPr>
        <w:t>— The Company is authorized to issue a total of 50,000,000 share of common stock at par value of $0.0001 each. At September 30, 2021 and December 31, 2020, there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3,292,200 and 2,875,000 shares issued and outstanding, excluding 11,500,000 and no shares subject to possible redemption, respectively.</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initial stockholder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not to transfer, assign or sell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 Any permitted transferees will be subject to the same restrictions and other agreements of the Company’s initial stockholders with respect to any founder shares.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Note 9 — Fair Value Measurements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presents information about the Company’s assets and liabilities that are measured at fair value on a recurring basis at March 31, 2021, and indicates the fair value hierarchy of the valuation inputs the Company utilized to determine such fair value: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r>
      <w:tr>
        <w:trPr>
          <w:trHeight w:val="172"/>
        </w:trPr>
        <w:tc>
          <w:tcPr>
            <w:tcW w:w="3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Prices In</w:t>
            </w:r>
          </w:p>
        </w:tc>
        <w:tc>
          <w:tcPr>
            <w:tcW w:w="20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r>
      <w:tr>
        <w:trPr>
          <w:trHeight w:val="172"/>
        </w:trPr>
        <w:tc>
          <w:tcPr>
            <w:tcW w:w="3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Active</w:t>
            </w:r>
          </w:p>
        </w:tc>
        <w:tc>
          <w:tcPr>
            <w:tcW w:w="20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Unobservable</w:t>
            </w:r>
          </w:p>
        </w:tc>
      </w:tr>
      <w:tr>
        <w:trPr>
          <w:trHeight w:val="182"/>
        </w:trPr>
        <w:tc>
          <w:tcPr>
            <w:tcW w:w="3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Markets</w:t>
            </w:r>
          </w:p>
        </w:tc>
        <w:tc>
          <w:tcPr>
            <w:tcW w:w="200" w:type="dxa"/>
            <w:vAlign w:val="bottom"/>
          </w:tcPr>
          <w:p>
            <w:pPr>
              <w:spacing w:after="0"/>
              <w:rPr>
                <w:sz w:val="15"/>
                <w:szCs w:val="15"/>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r>
      <w:tr>
        <w:trPr>
          <w:trHeight w:val="188"/>
        </w:trPr>
        <w:tc>
          <w:tcPr>
            <w:tcW w:w="3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3"/>
        </w:trPr>
        <w:tc>
          <w:tcPr>
            <w:tcW w:w="3600" w:type="dxa"/>
            <w:vAlign w:val="bottom"/>
          </w:tcPr>
          <w:p>
            <w:pPr>
              <w:spacing w:after="0"/>
              <w:rPr>
                <w:sz w:val="20"/>
                <w:szCs w:val="20"/>
                <w:color w:val="auto"/>
              </w:rPr>
            </w:pPr>
            <w:r>
              <w:rPr>
                <w:rFonts w:ascii="Arial" w:cs="Arial" w:eastAsia="Arial" w:hAnsi="Arial"/>
                <w:sz w:val="14"/>
                <w:szCs w:val="14"/>
                <w:color w:val="auto"/>
              </w:rPr>
              <w:t>U.S. Money Market held in Trust Account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4"/>
                <w:szCs w:val="14"/>
                <w:color w:val="auto"/>
              </w:rPr>
              <w:t>116,158,244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116,158,244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4"/>
        </w:trPr>
        <w:tc>
          <w:tcPr>
            <w:tcW w:w="36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Liabilities:</w:t>
            </w:r>
          </w:p>
        </w:tc>
        <w:tc>
          <w:tcPr>
            <w:tcW w:w="1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Public Warrants Liability</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5,290,000</w:t>
            </w:r>
          </w:p>
        </w:tc>
        <w:tc>
          <w:tcPr>
            <w:tcW w:w="36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5,290,000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Private Placement Warrants Liability</w:t>
            </w: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239,312</w:t>
            </w: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239,312</w:t>
            </w:r>
          </w:p>
        </w:tc>
        <w:tc>
          <w:tcPr>
            <w:tcW w:w="100" w:type="dxa"/>
            <w:vAlign w:val="bottom"/>
            <w:shd w:val="clear" w:color="auto" w:fill="CCEEFF"/>
          </w:tcPr>
          <w:p>
            <w:pPr>
              <w:spacing w:after="0"/>
              <w:rPr>
                <w:sz w:val="15"/>
                <w:szCs w:val="15"/>
                <w:color w:val="auto"/>
              </w:rPr>
            </w:pPr>
          </w:p>
        </w:tc>
      </w:tr>
      <w:tr>
        <w:trPr>
          <w:trHeight w:val="22"/>
        </w:trPr>
        <w:tc>
          <w:tcPr>
            <w:tcW w:w="36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360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5,529,312</w:t>
            </w:r>
          </w:p>
        </w:tc>
        <w:tc>
          <w:tcPr>
            <w:tcW w:w="360" w:type="dxa"/>
            <w:vAlign w:val="bottom"/>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5,290,000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239,312</w:t>
            </w:r>
          </w:p>
        </w:tc>
        <w:tc>
          <w:tcPr>
            <w:tcW w:w="100" w:type="dxa"/>
            <w:vAlign w:val="bottom"/>
          </w:tcPr>
          <w:p>
            <w:pPr>
              <w:spacing w:after="0"/>
              <w:rPr>
                <w:sz w:val="15"/>
                <w:szCs w:val="15"/>
                <w:color w:val="auto"/>
              </w:rPr>
            </w:pPr>
          </w:p>
        </w:tc>
      </w:tr>
      <w:tr>
        <w:trPr>
          <w:trHeight w:val="20"/>
        </w:trPr>
        <w:tc>
          <w:tcPr>
            <w:tcW w:w="3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The Warrants are accounted for as liabilities in accordance with ASC 815-40 and are presented within warrant liabilities on the Condensed Balance Sheet. The warrant liabilities are measured at fair value at inception and on a recurring basis, with changes in fair value presented within change in fair value of warrant liabilities in the Condensed Statement of Operations.</w:t>
      </w:r>
    </w:p>
    <w:p>
      <w:pPr>
        <w:spacing w:after="0" w:line="109"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Company established the initial fair value of the Public Warrants and Private Warrants on January 14, 2021, the date of the Company’s Initial Public Offering, using a Monte Carlo simulation model. On September 30, 2021, the Company established the fair value of the Private Warrants using a Monto Carlo simulation model, and the fair value of the Public Warrants by reference to the quoted market price. The Public and Private Warrants were classified as Level 3 at the initial measurement date and the Private Warrants were classified as Level 3 at September 30, 2021 due to the use of unobservable inputs. As of September 30, 2021, the Public Warrant were transferred to Level 1 due to the use of the quote market price.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20"/>
                <w:szCs w:val="20"/>
                <w:color w:val="auto"/>
              </w:rPr>
            </w:pPr>
            <w:r>
              <w:rPr>
                <w:rFonts w:ascii="Arial" w:cs="Arial" w:eastAsia="Arial" w:hAnsi="Arial"/>
                <w:sz w:val="14"/>
                <w:szCs w:val="14"/>
                <w:color w:val="auto"/>
              </w:rPr>
              <w:t>The following table presents the changes in the fair value of the Level 3 liabilities: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Private Placement</w:t>
            </w:r>
          </w:p>
        </w:tc>
        <w:tc>
          <w:tcPr>
            <w:tcW w:w="300" w:type="dxa"/>
            <w:vAlign w:val="bottom"/>
          </w:tcPr>
          <w:p>
            <w:pPr>
              <w:spacing w:after="0"/>
              <w:rPr>
                <w:sz w:val="24"/>
                <w:szCs w:val="24"/>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Public</w:t>
            </w:r>
          </w:p>
        </w:tc>
        <w:tc>
          <w:tcPr>
            <w:tcW w:w="30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6"/>
                <w:szCs w:val="16"/>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2"/>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Fair Value as of December 31, 2020</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Arial" w:cs="Arial" w:eastAsia="Arial" w:hAnsi="Arial"/>
                <w:sz w:val="14"/>
                <w:szCs w:val="14"/>
                <w:color w:val="auto"/>
              </w:rPr>
              <w:t>Initial measurement on January 14, 2021</w:t>
            </w:r>
          </w:p>
        </w:tc>
        <w:tc>
          <w:tcPr>
            <w:tcW w:w="180" w:type="dxa"/>
            <w:vAlign w:val="bottom"/>
          </w:tcPr>
          <w:p>
            <w:pPr>
              <w:spacing w:after="0"/>
              <w:rPr>
                <w:sz w:val="14"/>
                <w:szCs w:val="1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4"/>
                <w:szCs w:val="14"/>
                <w:color w:val="auto"/>
              </w:rPr>
              <w:t>249,963</w:t>
            </w:r>
          </w:p>
        </w:tc>
        <w:tc>
          <w:tcPr>
            <w:tcW w:w="300" w:type="dxa"/>
            <w:vAlign w:val="bottom"/>
          </w:tcPr>
          <w:p>
            <w:pPr>
              <w:spacing w:after="0"/>
              <w:rPr>
                <w:sz w:val="14"/>
                <w:szCs w:val="14"/>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4"/>
                <w:szCs w:val="14"/>
                <w:color w:val="auto"/>
              </w:rPr>
              <w:t>6,775,220</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7,025,183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w:t>
            </w:r>
          </w:p>
        </w:tc>
        <w:tc>
          <w:tcPr>
            <w:tcW w:w="1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(10,651)</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(1,485,220)</w:t>
            </w:r>
          </w:p>
        </w:tc>
        <w:tc>
          <w:tcPr>
            <w:tcW w:w="3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(1,495,871)</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Transferred to Level 1</w:t>
            </w:r>
          </w:p>
        </w:tc>
        <w:tc>
          <w:tcPr>
            <w:tcW w:w="180" w:type="dxa"/>
            <w:vAlign w:val="bottom"/>
          </w:tcPr>
          <w:p>
            <w:pPr>
              <w:spacing w:after="0"/>
              <w:rPr>
                <w:sz w:val="15"/>
                <w:szCs w:val="15"/>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color w:val="auto"/>
              </w:rPr>
              <w:t>(5,290,000)</w:t>
            </w:r>
          </w:p>
        </w:tc>
        <w:tc>
          <w:tcPr>
            <w:tcW w:w="30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(5,290,000)</w:t>
            </w:r>
          </w:p>
        </w:tc>
        <w:tc>
          <w:tcPr>
            <w:tcW w:w="0" w:type="dxa"/>
            <w:vAlign w:val="bottom"/>
          </w:tcPr>
          <w:p>
            <w:pPr>
              <w:spacing w:after="0"/>
              <w:rPr>
                <w:sz w:val="1"/>
                <w:szCs w:val="1"/>
                <w:color w:val="auto"/>
              </w:rPr>
            </w:pPr>
          </w:p>
        </w:tc>
      </w:tr>
      <w:tr>
        <w:trPr>
          <w:trHeight w:val="22"/>
        </w:trPr>
        <w:tc>
          <w:tcPr>
            <w:tcW w:w="54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2021</w:t>
            </w: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239,312</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239,312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key inputs into the Monte Carlo simulation as of January 14, 2021 and September 30,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(Initial Measurement)</w:t>
            </w: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8"/>
        </w:trPr>
        <w:tc>
          <w:tcPr>
            <w:tcW w:w="6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Inputs</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January 14, 2021</w:t>
            </w:r>
          </w:p>
        </w:tc>
        <w:tc>
          <w:tcPr>
            <w:tcW w:w="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CCEEFF"/>
            </w:tcBorders>
          </w:tcPr>
          <w:p>
            <w:pPr>
              <w:spacing w:after="0"/>
              <w:rPr>
                <w:sz w:val="16"/>
                <w:szCs w:val="16"/>
                <w:color w:val="auto"/>
              </w:rPr>
            </w:pPr>
          </w:p>
        </w:tc>
      </w:tr>
      <w:tr>
        <w:trPr>
          <w:trHeight w:val="172"/>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660"/>
              <w:spacing w:after="0"/>
              <w:rPr>
                <w:sz w:val="20"/>
                <w:szCs w:val="20"/>
                <w:color w:val="auto"/>
              </w:rPr>
            </w:pPr>
            <w:r>
              <w:rPr>
                <w:rFonts w:ascii="Arial" w:cs="Arial" w:eastAsia="Arial" w:hAnsi="Arial"/>
                <w:sz w:val="14"/>
                <w:szCs w:val="14"/>
                <w:color w:val="auto"/>
              </w:rPr>
              <w:t>0.60%</w:t>
            </w:r>
          </w:p>
        </w:tc>
        <w:tc>
          <w:tcPr>
            <w:tcW w:w="26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6520" w:type="dxa"/>
            <w:vAlign w:val="bottom"/>
            <w:gridSpan w:val="2"/>
          </w:tcPr>
          <w:p>
            <w:pPr>
              <w:spacing w:after="0"/>
              <w:rPr>
                <w:sz w:val="20"/>
                <w:szCs w:val="20"/>
                <w:color w:val="auto"/>
              </w:rPr>
            </w:pPr>
            <w:r>
              <w:rPr>
                <w:rFonts w:ascii="Arial" w:cs="Arial" w:eastAsia="Arial" w:hAnsi="Arial"/>
                <w:sz w:val="14"/>
                <w:szCs w:val="14"/>
                <w:color w:val="auto"/>
              </w:rPr>
              <w:t>Expected term remaining (years)</w:t>
            </w:r>
          </w:p>
        </w:tc>
        <w:tc>
          <w:tcPr>
            <w:tcW w:w="240" w:type="dxa"/>
            <w:vAlign w:val="bottom"/>
          </w:tcPr>
          <w:p>
            <w:pPr>
              <w:spacing w:after="0"/>
              <w:rPr>
                <w:sz w:val="14"/>
                <w:szCs w:val="14"/>
                <w:color w:val="auto"/>
              </w:rPr>
            </w:pPr>
          </w:p>
        </w:tc>
        <w:tc>
          <w:tcPr>
            <w:tcW w:w="2260" w:type="dxa"/>
            <w:vAlign w:val="bottom"/>
            <w:gridSpan w:val="2"/>
          </w:tcPr>
          <w:p>
            <w:pPr>
              <w:ind w:left="1660"/>
              <w:spacing w:after="0"/>
              <w:rPr>
                <w:sz w:val="20"/>
                <w:szCs w:val="20"/>
                <w:color w:val="auto"/>
              </w:rPr>
            </w:pPr>
            <w:r>
              <w:rPr>
                <w:rFonts w:ascii="Arial" w:cs="Arial" w:eastAsia="Arial" w:hAnsi="Arial"/>
                <w:sz w:val="14"/>
                <w:szCs w:val="14"/>
                <w:color w:val="auto"/>
              </w:rPr>
              <w:t>5.67</w:t>
            </w:r>
          </w:p>
        </w:tc>
        <w:tc>
          <w:tcPr>
            <w:tcW w:w="26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4"/>
                <w:szCs w:val="14"/>
                <w:color w:val="auto"/>
              </w:rPr>
              <w:t>5.14</w:t>
            </w:r>
          </w:p>
        </w:tc>
      </w:tr>
      <w:tr>
        <w:trPr>
          <w:trHeight w:val="172"/>
        </w:trPr>
        <w:tc>
          <w:tcPr>
            <w:tcW w:w="6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24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660"/>
              <w:spacing w:after="0"/>
              <w:rPr>
                <w:sz w:val="20"/>
                <w:szCs w:val="20"/>
                <w:color w:val="auto"/>
              </w:rPr>
            </w:pPr>
            <w:r>
              <w:rPr>
                <w:rFonts w:ascii="Arial" w:cs="Arial" w:eastAsia="Arial" w:hAnsi="Arial"/>
                <w:sz w:val="14"/>
                <w:szCs w:val="14"/>
                <w:color w:val="auto"/>
              </w:rPr>
              <w:t>24.2%</w:t>
            </w:r>
          </w:p>
        </w:tc>
        <w:tc>
          <w:tcPr>
            <w:tcW w:w="26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1"/>
        </w:trPr>
        <w:tc>
          <w:tcPr>
            <w:tcW w:w="6520" w:type="dxa"/>
            <w:vAlign w:val="bottom"/>
            <w:gridSpan w:val="2"/>
          </w:tcPr>
          <w:p>
            <w:pPr>
              <w:spacing w:after="0"/>
              <w:rPr>
                <w:sz w:val="20"/>
                <w:szCs w:val="20"/>
                <w:color w:val="auto"/>
              </w:rPr>
            </w:pPr>
            <w:r>
              <w:rPr>
                <w:rFonts w:ascii="Arial" w:cs="Arial" w:eastAsia="Arial" w:hAnsi="Arial"/>
                <w:sz w:val="14"/>
                <w:szCs w:val="14"/>
                <w:color w:val="auto"/>
              </w:rPr>
              <w:t>Stock price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2260" w:type="dxa"/>
            <w:vAlign w:val="bottom"/>
            <w:gridSpan w:val="2"/>
          </w:tcPr>
          <w:p>
            <w:pPr>
              <w:ind w:left="1660"/>
              <w:spacing w:after="0"/>
              <w:rPr>
                <w:sz w:val="20"/>
                <w:szCs w:val="20"/>
                <w:color w:val="auto"/>
              </w:rPr>
            </w:pPr>
            <w:r>
              <w:rPr>
                <w:rFonts w:ascii="Arial" w:cs="Arial" w:eastAsia="Arial" w:hAnsi="Arial"/>
                <w:sz w:val="14"/>
                <w:szCs w:val="14"/>
                <w:color w:val="auto"/>
              </w:rPr>
              <w:t>9.41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15"/>
                <w:szCs w:val="15"/>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Subsequent Events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auto"/>
        </w:rPr>
        <w:t>Business Combination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On October 22, 2021 (the “Closing Date”), the Company consummated the previously announced business combination (the “Business Combination”), pursuant to the terms of the agreement and plan of merger, dated as of June 21, 2021 (as may be amended, supplemented or otherwise modified from time to time, the “Business Combination Agreement”), by and among the Company, Big Cypress Merger Sub Inc., a Delaware corporation and wholly-owned subsidiary of the Company (“Merger Sub”), and SAB Biotherapeutics, Inc., a Delaware corporation (“OLD SAB”).</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Pursuant to the Business Combination Agreement, on the Closing Date, (i) Merger Sub merged with and into OLD SAB (the “Merger”), with OLD SAB as the surviving company in the Merger, and, after giving effect to such Merger, OLD SAB was renamed SAB Sciences, Inc. and became a wholly-owned subsidiary of the Company and (ii) the Company changed its name to “SAB Biotherapeutics, Inc.”</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accordance with the terms and subject to the conditions of the Business Combination Agreement, at the effective time of the Merger (the “Effective Time”), (i) each share of common stock and preferred stock of OLD SAB outstanding as of immediately prior to the Effective Time was exchanged for shares of common stock, par value $0.0001 per share, of the Company (“Common Stock”) based on the agreed upon OLD SAB equity value of $300 million (the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restricted stock units (the “Earnout RSUs”) related to shares of Common Stock.</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holders of OLD SAB common stock and preferred stock are entitled to receive their pro rata share of the shares of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Common Stock, in the aggregate.</w:t>
      </w:r>
    </w:p>
    <w:p>
      <w:pPr>
        <w:spacing w:after="0" w:line="14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No fraction of a share of Common Stock was issued at the Closing, and each person who was otherwise entitled to a fraction of a share of Common Stock (after aggregating all fractional shares of Common Stock that otherwise would be received by such holder) received the number of shares of Common Stock rounded in the aggregate to the nearest whole share of Common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 and Board of Directors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Big Cypress Acquisition Corp.</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We have audited the accompanying balance sheet of Big Cypress Acquisition Corp. (the “Company”) as of December 31, 2020, the related statements of operations, changes in stockholders’ equity and cash flows for the period from November 12,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November 12, 2020 (inception) through December 31, 2020,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 Marcum </w:t>
      </w:r>
      <w:r>
        <w:rPr>
          <w:rFonts w:ascii="Arial" w:cs="Arial" w:eastAsia="Arial" w:hAnsi="Arial"/>
          <w:sz w:val="9"/>
          <w:szCs w:val="9"/>
          <w:i w:val="1"/>
          <w:iCs w:val="1"/>
          <w:color w:val="auto"/>
        </w:rPr>
        <w:t>LLP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Marcum </w:t>
      </w:r>
      <w:r>
        <w:rPr>
          <w:rFonts w:ascii="Arial" w:cs="Arial" w:eastAsia="Arial" w:hAnsi="Arial"/>
          <w:sz w:val="9"/>
          <w:szCs w:val="9"/>
          <w:color w:val="auto"/>
        </w:rPr>
        <w:t>LLP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West Palm Beach, Fl</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April 2,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1" w:name="page132"/>
    <w:bookmarkEnd w:id="131"/>
    <w:p>
      <w:pPr>
        <w:jc w:val="center"/>
        <w:ind w:left="2760"/>
        <w:spacing w:after="0"/>
        <w:rPr>
          <w:sz w:val="20"/>
          <w:szCs w:val="20"/>
          <w:color w:val="auto"/>
        </w:rPr>
      </w:pPr>
      <w:r>
        <w:rPr>
          <w:rFonts w:ascii="Arial" w:cs="Arial" w:eastAsia="Arial" w:hAnsi="Arial"/>
          <w:sz w:val="14"/>
          <w:szCs w:val="14"/>
          <w:b w:val="1"/>
          <w:bCs w:val="1"/>
          <w:color w:val="auto"/>
        </w:rPr>
        <w:t>BIG CYPRESS ACQUISITION CORP.</w:t>
      </w:r>
    </w:p>
    <w:p>
      <w:pPr>
        <w:spacing w:after="0" w:line="24"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BALANCE SHEET</w:t>
      </w:r>
    </w:p>
    <w:p>
      <w:pPr>
        <w:spacing w:after="0" w:line="11" w:lineRule="exact"/>
        <w:rPr>
          <w:sz w:val="20"/>
          <w:szCs w:val="20"/>
          <w:color w:val="auto"/>
        </w:rPr>
      </w:pPr>
    </w:p>
    <w:p>
      <w:pPr>
        <w:jc w:val="center"/>
        <w:ind w:left="2760"/>
        <w:spacing w:after="0"/>
        <w:rPr>
          <w:sz w:val="20"/>
          <w:szCs w:val="20"/>
          <w:color w:val="auto"/>
        </w:rPr>
      </w:pPr>
      <w:r>
        <w:rPr>
          <w:rFonts w:ascii="Arial" w:cs="Arial" w:eastAsia="Arial" w:hAnsi="Arial"/>
          <w:sz w:val="14"/>
          <w:szCs w:val="14"/>
          <w:b w:val="1"/>
          <w:bCs w:val="1"/>
          <w:color w:val="auto"/>
        </w:rPr>
        <w:t>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60260" cy="1155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1155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Prepaid Expenses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225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Deferred offering costs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225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Accrued offering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225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60260" cy="109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$0.0001 par value; 1,000,000 shares authorized; none issued and outstanding</w:t>
      </w:r>
    </w:p>
    <w:p>
      <w:pPr>
        <w:spacing w:after="0" w:line="215" w:lineRule="auto"/>
        <w:rPr>
          <w:sz w:val="20"/>
          <w:szCs w:val="20"/>
          <w:color w:val="auto"/>
        </w:rPr>
      </w:pPr>
      <w:r>
        <w:rPr>
          <w:rFonts w:ascii="Arial" w:cs="Arial" w:eastAsia="Arial" w:hAnsi="Arial"/>
          <w:sz w:val="13"/>
          <w:szCs w:val="13"/>
          <w:color w:val="auto"/>
        </w:rPr>
        <w:t xml:space="preserve">Common stock, $0.0001 par value; 50,000,000 shares authorized, 2,875,000 shares issued and outstanding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60260" cy="1295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60" w:type="dxa"/>
            <w:vAlign w:val="bottom"/>
            <w:gridSpan w:val="2"/>
          </w:tcPr>
          <w:p>
            <w:pPr>
              <w:jc w:val="right"/>
              <w:ind w:right="6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84,836</w:t>
            </w:r>
          </w:p>
        </w:tc>
      </w:tr>
      <w:tr>
        <w:trPr>
          <w:trHeight w:val="184"/>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w:t>
            </w:r>
          </w:p>
        </w:tc>
      </w:tr>
      <w:tr>
        <w:trPr>
          <w:trHeight w:val="173"/>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87,094</w:t>
            </w:r>
          </w:p>
        </w:tc>
      </w:tr>
      <w:tr>
        <w:trPr>
          <w:trHeight w:val="173"/>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235,111</w:t>
            </w:r>
          </w:p>
        </w:tc>
      </w:tr>
      <w:tr>
        <w:trPr>
          <w:trHeight w:val="172"/>
        </w:trPr>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322,205</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77"/>
        </w:trPr>
        <w:tc>
          <w:tcPr>
            <w:tcW w:w="760" w:type="dxa"/>
            <w:vAlign w:val="bottom"/>
            <w:gridSpan w:val="2"/>
          </w:tcPr>
          <w:p>
            <w:pPr>
              <w:jc w:val="right"/>
              <w:ind w:right="6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156,201</w:t>
            </w:r>
          </w:p>
        </w:tc>
      </w:tr>
      <w:tr>
        <w:trPr>
          <w:trHeight w:val="184"/>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w:t>
            </w:r>
          </w:p>
        </w:tc>
      </w:tr>
      <w:tr>
        <w:trPr>
          <w:trHeight w:val="173"/>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306,201</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w:t>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288</w:t>
      </w:r>
    </w:p>
    <w:p>
      <w:pPr>
        <w:spacing w:after="0" w:line="20"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24,712</w:t>
      </w:r>
    </w:p>
    <w:p>
      <w:pPr>
        <w:spacing w:after="0" w:line="22" w:lineRule="exact"/>
        <w:rPr>
          <w:sz w:val="20"/>
          <w:szCs w:val="20"/>
          <w:color w:val="auto"/>
        </w:rPr>
      </w:pPr>
    </w:p>
    <w:p>
      <w:pPr>
        <w:sectPr>
          <w:pgSz w:w="11900" w:h="16838" w:orient="portrait"/>
          <w:cols w:equalWidth="0" w:num="2">
            <w:col w:w="8540" w:space="720"/>
            <w:col w:w="2020"/>
          </w:cols>
          <w:pgMar w:left="300" w:top="554" w:right="319" w:bottom="1440" w:gutter="0" w:footer="0" w:header="0"/>
        </w:sectPr>
      </w:pPr>
    </w:p>
    <w:tbl>
      <w:tblPr>
        <w:tblLayout w:type="fixed"/>
        <w:tblInd w:w="0" w:type="dxa"/>
        <w:tblCellMar>
          <w:top w:w="0" w:type="dxa"/>
          <w:left w:w="0" w:type="dxa"/>
          <w:bottom w:w="0" w:type="dxa"/>
          <w:right w:w="0" w:type="dxa"/>
        </w:tblCellMar>
      </w:tblPr>
      <w:tr>
        <w:trPr>
          <w:trHeight w:val="181"/>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6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(8,996)</w:t>
            </w:r>
          </w:p>
        </w:tc>
      </w:tr>
      <w:tr>
        <w:trPr>
          <w:trHeight w:val="155"/>
        </w:trPr>
        <w:tc>
          <w:tcPr>
            <w:tcW w:w="282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b w:val="1"/>
                <w:bCs w:val="1"/>
                <w:color w:val="auto"/>
              </w:rPr>
              <w:t>Total stockholders’ equity</w:t>
            </w:r>
          </w:p>
        </w:tc>
        <w:tc>
          <w:tcPr>
            <w:tcW w:w="6440" w:type="dxa"/>
            <w:vAlign w:val="bottom"/>
            <w:tcBorders>
              <w:top w:val="single" w:sz="8" w:color="CCEEFF"/>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16,004</w:t>
            </w:r>
          </w:p>
        </w:tc>
        <w:tc>
          <w:tcPr>
            <w:tcW w:w="100" w:type="dxa"/>
            <w:vAlign w:val="bottom"/>
            <w:tcBorders>
              <w:top w:val="single" w:sz="8" w:color="CCEEFF"/>
              <w:bottom w:val="single" w:sz="8" w:color="CCEEFF"/>
            </w:tcBorders>
          </w:tcPr>
          <w:p>
            <w:pPr>
              <w:spacing w:after="0"/>
              <w:rPr>
                <w:sz w:val="13"/>
                <w:szCs w:val="13"/>
                <w:color w:val="auto"/>
              </w:rPr>
            </w:pPr>
          </w:p>
        </w:tc>
      </w:tr>
      <w:tr>
        <w:trPr>
          <w:trHeight w:val="172"/>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64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322,205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28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2820" w:type="dxa"/>
            <w:vAlign w:val="bottom"/>
            <w:tcBorders>
              <w:bottom w:val="single" w:sz="8" w:color="auto"/>
            </w:tcBorders>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61" w:lineRule="exact"/>
        <w:rPr>
          <w:sz w:val="20"/>
          <w:szCs w:val="20"/>
          <w:color w:val="auto"/>
        </w:rPr>
      </w:pPr>
    </w:p>
    <w:p>
      <w:pPr>
        <w:jc w:val="both"/>
        <w:ind w:left="260" w:hanging="254"/>
        <w:spacing w:after="0" w:line="271" w:lineRule="auto"/>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up to 343,125 founder shares subject to forfeiture by the Sponsor and up to 31,875 representative shares held by Ladenburg and certain of its employees subject to forfeiture if over-allotment option was not exercised in full or in part by the underwriters (see Note 5 and Note 8). As a result of the underwriter’s election to fully exercise their over-allotment option on January 14, 2021, the founder shares and representative shares are no longer subject to forfeiture (see Note 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4"/>
          <w:szCs w:val="14"/>
          <w:b w:val="1"/>
          <w:bCs w:val="1"/>
          <w:color w:val="auto"/>
        </w:rPr>
        <w:t>BIG CYPRESS ACQUISITION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PERIOD FROM NOVEMBER 12, 2020 (INCEPTION) THROUGH DECEMBER 31, 2020</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Formation and operating costs</w:t>
            </w:r>
          </w:p>
        </w:tc>
        <w:tc>
          <w:tcPr>
            <w:tcW w:w="700" w:type="dxa"/>
            <w:vAlign w:val="bottom"/>
            <w:gridSpan w:val="2"/>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60" w:type="dxa"/>
            <w:vAlign w:val="bottom"/>
            <w:tcBorders>
              <w:top w:val="single" w:sz="8" w:color="CCEEFF"/>
              <w:bottom w:val="single" w:sz="8" w:color="CCEEFF"/>
            </w:tcBorders>
            <w:gridSpan w:val="2"/>
          </w:tcPr>
          <w:p>
            <w:pPr>
              <w:spacing w:after="0" w:line="153" w:lineRule="exact"/>
              <w:rPr>
                <w:sz w:val="20"/>
                <w:szCs w:val="20"/>
                <w:color w:val="auto"/>
              </w:rPr>
            </w:pPr>
            <w:r>
              <w:rPr>
                <w:rFonts w:ascii="Arial" w:cs="Arial" w:eastAsia="Arial" w:hAnsi="Arial"/>
                <w:sz w:val="14"/>
                <w:szCs w:val="14"/>
                <w:color w:val="auto"/>
              </w:rPr>
              <w:t>Net loss</w:t>
            </w:r>
          </w:p>
        </w:tc>
        <w:tc>
          <w:tcPr>
            <w:tcW w:w="20" w:type="dxa"/>
            <w:vAlign w:val="bottom"/>
            <w:tcBorders>
              <w:top w:val="single" w:sz="8" w:color="CCEEFF"/>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(8,996</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926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1"/>
                <w:szCs w:val="11"/>
                <w:color w:val="auto"/>
              </w:rPr>
              <w:t xml:space="preserve">Basic and diluted weighted average shares, Common stock </w:t>
            </w:r>
            <w:r>
              <w:rPr>
                <w:rFonts w:ascii="Arial" w:cs="Arial" w:eastAsia="Arial" w:hAnsi="Arial"/>
                <w:sz w:val="16"/>
                <w:szCs w:val="16"/>
                <w:color w:val="auto"/>
                <w:vertAlign w:val="superscript"/>
              </w:rPr>
              <w:t>(1)</w:t>
            </w: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2,500,000</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 Common stock</w:t>
            </w:r>
          </w:p>
        </w:tc>
        <w:tc>
          <w:tcPr>
            <w:tcW w:w="7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(0.00</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820" w:type="dxa"/>
            <w:vAlign w:val="bottom"/>
            <w:tcBorders>
              <w:bottom w:val="single" w:sz="8" w:color="auto"/>
            </w:tcBorders>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260" w:hanging="254"/>
        <w:spacing w:after="0" w:line="271" w:lineRule="auto"/>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Excludes up to 343,125 founder shares subject to forfeiture by the Sponsor and up to 31,875 representative shares held by Ladenburg and certain of its employees subject to forfeiture if over-allotment option was not exercised in full or in part by the underwriters (see Note 5 and Note 8). As a result of the underwriter’s election to fully exercise their over-allotment option on January 14, 2021, the founder shares and representative shares are no longer subject to forfeiture (see Note 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4"/>
          <w:szCs w:val="14"/>
          <w:b w:val="1"/>
          <w:bCs w:val="1"/>
          <w:color w:val="auto"/>
        </w:rPr>
        <w:t>BIG CYPRESS ACQUISITION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PERIOD FROM NOVEMBER 12, 2020 (INCEPTION) THROUGH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7"/>
        </w:trPr>
        <w:tc>
          <w:tcPr>
            <w:tcW w:w="2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5"/>
                <w:szCs w:val="15"/>
                <w:color w:val="auto"/>
              </w:rPr>
            </w:pPr>
          </w:p>
        </w:tc>
        <w:tc>
          <w:tcPr>
            <w:tcW w:w="13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05"/>
        </w:trPr>
        <w:tc>
          <w:tcPr>
            <w:tcW w:w="2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3"/>
                <w:szCs w:val="23"/>
                <w:b w:val="1"/>
                <w:bCs w:val="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November 12, 2020 (inception)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0" w:type="dxa"/>
            <w:vAlign w:val="bottom"/>
            <w:gridSpan w:val="2"/>
          </w:tcPr>
          <w:p>
            <w:pPr>
              <w:spacing w:after="0"/>
              <w:rPr>
                <w:sz w:val="20"/>
                <w:szCs w:val="20"/>
                <w:color w:val="auto"/>
              </w:rPr>
            </w:pPr>
            <w:r>
              <w:rPr>
                <w:rFonts w:ascii="Arial" w:cs="Arial" w:eastAsia="Arial" w:hAnsi="Arial"/>
                <w:sz w:val="14"/>
                <w:szCs w:val="14"/>
                <w:color w:val="auto"/>
              </w:rPr>
              <w:t>Common stock issued to Sponsor</w:t>
            </w:r>
          </w:p>
        </w:tc>
        <w:tc>
          <w:tcPr>
            <w:tcW w:w="1120" w:type="dxa"/>
            <w:vAlign w:val="bottom"/>
          </w:tcPr>
          <w:p>
            <w:pPr>
              <w:jc w:val="right"/>
              <w:spacing w:after="0"/>
              <w:rPr>
                <w:sz w:val="20"/>
                <w:szCs w:val="20"/>
                <w:color w:val="auto"/>
              </w:rPr>
            </w:pPr>
            <w:r>
              <w:rPr>
                <w:rFonts w:ascii="Arial" w:cs="Arial" w:eastAsia="Arial" w:hAnsi="Arial"/>
                <w:sz w:val="14"/>
                <w:szCs w:val="14"/>
                <w:color w:val="auto"/>
              </w:rPr>
              <w:t>2,875,000</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288</w:t>
            </w: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24,712</w:t>
            </w:r>
          </w:p>
        </w:tc>
        <w:tc>
          <w:tcPr>
            <w:tcW w:w="10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14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(8,996)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53"/>
        </w:trPr>
        <w:tc>
          <w:tcPr>
            <w:tcW w:w="4200" w:type="dxa"/>
            <w:vAlign w:val="bottom"/>
            <w:tcBorders>
              <w:top w:val="single" w:sz="8" w:color="CCEEFF"/>
            </w:tcBorders>
            <w:gridSpan w:val="2"/>
          </w:tcPr>
          <w:p>
            <w:pPr>
              <w:spacing w:after="0" w:line="153" w:lineRule="exact"/>
              <w:rPr>
                <w:sz w:val="20"/>
                <w:szCs w:val="20"/>
                <w:color w:val="auto"/>
              </w:rPr>
            </w:pPr>
            <w:r>
              <w:rPr>
                <w:rFonts w:ascii="Arial" w:cs="Arial" w:eastAsia="Arial" w:hAnsi="Arial"/>
                <w:sz w:val="14"/>
                <w:szCs w:val="14"/>
                <w:b w:val="1"/>
                <w:bCs w:val="1"/>
                <w:color w:val="auto"/>
              </w:rPr>
              <w:t>Balance as of December 31, 2020</w:t>
            </w:r>
          </w:p>
        </w:tc>
        <w:tc>
          <w:tcPr>
            <w:tcW w:w="1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2,875,000</w:t>
            </w:r>
          </w:p>
        </w:tc>
        <w:tc>
          <w:tcPr>
            <w:tcW w:w="360" w:type="dxa"/>
            <w:vAlign w:val="bottom"/>
            <w:tcBorders>
              <w:top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28"/>
              <w:spacing w:after="0" w:line="15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288</w:t>
            </w:r>
          </w:p>
        </w:tc>
        <w:tc>
          <w:tcPr>
            <w:tcW w:w="34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24,712</w:t>
            </w:r>
          </w:p>
        </w:tc>
        <w:tc>
          <w:tcPr>
            <w:tcW w:w="34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(8,996</w:t>
            </w:r>
          </w:p>
        </w:tc>
        <w:tc>
          <w:tcPr>
            <w:tcW w:w="340" w:type="dxa"/>
            <w:vAlign w:val="bottom"/>
            <w:tcBorders>
              <w:top w:val="single" w:sz="8" w:color="CCEEFF"/>
            </w:tcBorders>
          </w:tcPr>
          <w:p>
            <w:pPr>
              <w:jc w:val="right"/>
              <w:ind w:right="208"/>
              <w:spacing w:after="0" w:line="153" w:lineRule="exact"/>
              <w:rPr>
                <w:sz w:val="20"/>
                <w:szCs w:val="20"/>
                <w:color w:val="auto"/>
              </w:rPr>
            </w:pPr>
            <w:r>
              <w:rPr>
                <w:rFonts w:ascii="Arial" w:cs="Arial" w:eastAsia="Arial" w:hAnsi="Arial"/>
                <w:sz w:val="14"/>
                <w:szCs w:val="14"/>
                <w:color w:val="auto"/>
                <w:w w:val="84"/>
              </w:rPr>
              <w:t>)</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16,004</w:t>
            </w:r>
          </w:p>
        </w:tc>
        <w:tc>
          <w:tcPr>
            <w:tcW w:w="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82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260" w:hanging="254"/>
        <w:spacing w:after="0" w:line="271" w:lineRule="auto"/>
        <w:tabs>
          <w:tab w:leader="none" w:pos="2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up to 343,125 founder shares subject to forfeiture by the Sponsor and up to 31,875 representative shares held by Ladenburg and certain of its employees subject to forfeiture if over-allotment option was not exercised in full or in part by the underwriters (see Note 5 and Note 8). As a result of the underwriter’s election to fully exercise their over-allotment option on January 14, 2021, the founder shares and representative shares are no longer subject to forfeiture (see Note 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60" w:type="dxa"/>
            <w:vAlign w:val="bottom"/>
          </w:tcPr>
          <w:p>
            <w:pPr>
              <w:jc w:val="center"/>
              <w:ind w:left="1928"/>
              <w:spacing w:after="0"/>
              <w:rPr>
                <w:sz w:val="20"/>
                <w:szCs w:val="20"/>
                <w:color w:val="auto"/>
              </w:rPr>
            </w:pPr>
            <w:r>
              <w:rPr>
                <w:rFonts w:ascii="Arial" w:cs="Arial" w:eastAsia="Arial" w:hAnsi="Arial"/>
                <w:sz w:val="14"/>
                <w:szCs w:val="14"/>
                <w:b w:val="1"/>
                <w:bCs w:val="1"/>
                <w:color w:val="auto"/>
              </w:rPr>
              <w:t>BIG CYPRESS ACQUISITION CORP.</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Pr>
          <w:p>
            <w:pPr>
              <w:jc w:val="center"/>
              <w:ind w:left="1928"/>
              <w:spacing w:after="0"/>
              <w:rPr>
                <w:sz w:val="20"/>
                <w:szCs w:val="20"/>
                <w:color w:val="auto"/>
              </w:rPr>
            </w:pPr>
            <w:r>
              <w:rPr>
                <w:rFonts w:ascii="Arial" w:cs="Arial" w:eastAsia="Arial" w:hAnsi="Arial"/>
                <w:sz w:val="14"/>
                <w:szCs w:val="14"/>
                <w:b w:val="1"/>
                <w:bCs w:val="1"/>
                <w:color w:val="auto"/>
              </w:rPr>
              <w:t>STATEMENT OF CASH FLOWS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60" w:type="dxa"/>
            <w:vAlign w:val="bottom"/>
          </w:tcPr>
          <w:p>
            <w:pPr>
              <w:jc w:val="center"/>
              <w:ind w:left="1908"/>
              <w:spacing w:after="0"/>
              <w:rPr>
                <w:sz w:val="20"/>
                <w:szCs w:val="20"/>
                <w:color w:val="auto"/>
              </w:rPr>
            </w:pPr>
            <w:r>
              <w:rPr>
                <w:rFonts w:ascii="Arial" w:cs="Arial" w:eastAsia="Arial" w:hAnsi="Arial"/>
                <w:sz w:val="14"/>
                <w:szCs w:val="14"/>
                <w:b w:val="1"/>
                <w:bCs w:val="1"/>
                <w:color w:val="auto"/>
              </w:rPr>
              <w:t>FOR THE PERIOD FROM NOVEMBER 12, 2020 (INCEPTION) THROUGH DECEMBER 31, 2020</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9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55"/>
              <w:spacing w:after="0"/>
              <w:rPr>
                <w:sz w:val="20"/>
                <w:szCs w:val="20"/>
                <w:color w:val="auto"/>
              </w:rPr>
            </w:pPr>
            <w:r>
              <w:rPr>
                <w:rFonts w:ascii="Arial" w:cs="Arial" w:eastAsia="Arial" w:hAnsi="Arial"/>
                <w:sz w:val="14"/>
                <w:szCs w:val="14"/>
                <w:color w:val="auto"/>
              </w:rPr>
              <w:t>(8,996)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74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Pr>
          <w:p>
            <w:pPr>
              <w:spacing w:after="0"/>
              <w:rPr>
                <w:sz w:val="20"/>
                <w:szCs w:val="20"/>
                <w:color w:val="auto"/>
              </w:rPr>
            </w:pPr>
            <w:r>
              <w:rPr>
                <w:rFonts w:ascii="Arial" w:cs="Arial" w:eastAsia="Arial" w:hAnsi="Arial"/>
                <w:sz w:val="14"/>
                <w:szCs w:val="14"/>
                <w:color w:val="auto"/>
              </w:rPr>
              <w:t>Prepaid assets</w:t>
            </w:r>
          </w:p>
        </w:tc>
        <w:tc>
          <w:tcPr>
            <w:tcW w:w="740" w:type="dxa"/>
            <w:vAlign w:val="bottom"/>
          </w:tcPr>
          <w:p>
            <w:pPr>
              <w:spacing w:after="0"/>
              <w:rPr>
                <w:sz w:val="14"/>
                <w:szCs w:val="14"/>
                <w:color w:val="auto"/>
              </w:rPr>
            </w:pPr>
          </w:p>
        </w:tc>
        <w:tc>
          <w:tcPr>
            <w:tcW w:w="1260" w:type="dxa"/>
            <w:vAlign w:val="bottom"/>
            <w:gridSpan w:val="2"/>
          </w:tcPr>
          <w:p>
            <w:pPr>
              <w:jc w:val="right"/>
              <w:ind w:right="55"/>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Accrued expenses</w:t>
            </w:r>
          </w:p>
        </w:tc>
        <w:tc>
          <w:tcPr>
            <w:tcW w:w="7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color w:val="auto"/>
              </w:rPr>
              <w:t>(10,032</w:t>
            </w:r>
          </w:p>
        </w:tc>
        <w:tc>
          <w:tcPr>
            <w:tcW w:w="80" w:type="dxa"/>
            <w:vAlign w:val="bottom"/>
          </w:tcPr>
          <w:p>
            <w:pPr>
              <w:jc w:val="right"/>
              <w:ind w:right="55"/>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9260" w:type="dxa"/>
            <w:vAlign w:val="bottom"/>
            <w:tcBorders>
              <w:top w:val="single" w:sz="8" w:color="CCEEFF"/>
              <w:right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2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from issuance of founder shares</w:t>
            </w:r>
          </w:p>
        </w:tc>
        <w:tc>
          <w:tcPr>
            <w:tcW w:w="74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Pr>
          <w:p>
            <w:pPr>
              <w:spacing w:after="0"/>
              <w:rPr>
                <w:sz w:val="20"/>
                <w:szCs w:val="20"/>
                <w:color w:val="auto"/>
              </w:rPr>
            </w:pPr>
            <w:r>
              <w:rPr>
                <w:rFonts w:ascii="Arial" w:cs="Arial" w:eastAsia="Arial" w:hAnsi="Arial"/>
                <w:sz w:val="14"/>
                <w:szCs w:val="14"/>
                <w:color w:val="auto"/>
              </w:rPr>
              <w:t>Proceeds from issuance of promissory note to related party</w:t>
            </w:r>
          </w:p>
        </w:tc>
        <w:tc>
          <w:tcPr>
            <w:tcW w:w="7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Payment of deferred offering costs</w:t>
            </w:r>
          </w:p>
        </w:tc>
        <w:tc>
          <w:tcPr>
            <w:tcW w:w="7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(80,132)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18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2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color w:val="auto"/>
              </w:rPr>
              <w:t>94,868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change in cash</w:t>
            </w:r>
          </w:p>
        </w:tc>
        <w:tc>
          <w:tcPr>
            <w:tcW w:w="7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84,836</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280" w:type="dxa"/>
            <w:vAlign w:val="bottom"/>
            <w:gridSpan w:val="2"/>
          </w:tcPr>
          <w:p>
            <w:pPr>
              <w:spacing w:after="0"/>
              <w:rPr>
                <w:sz w:val="20"/>
                <w:szCs w:val="20"/>
                <w:color w:val="auto"/>
              </w:rPr>
            </w:pPr>
            <w:r>
              <w:rPr>
                <w:rFonts w:ascii="Arial" w:cs="Arial" w:eastAsia="Arial" w:hAnsi="Arial"/>
                <w:sz w:val="14"/>
                <w:szCs w:val="14"/>
                <w:color w:val="auto"/>
              </w:rPr>
              <w:t>Cash, beginning of period</w:t>
            </w:r>
          </w:p>
        </w:tc>
        <w:tc>
          <w:tcPr>
            <w:tcW w:w="740" w:type="dxa"/>
            <w:vAlign w:val="bottom"/>
          </w:tcPr>
          <w:p>
            <w:pPr>
              <w:spacing w:after="0"/>
              <w:rPr>
                <w:sz w:val="15"/>
                <w:szCs w:val="15"/>
                <w:color w:val="auto"/>
              </w:rPr>
            </w:pPr>
          </w:p>
        </w:tc>
        <w:tc>
          <w:tcPr>
            <w:tcW w:w="1260" w:type="dxa"/>
            <w:vAlign w:val="bottom"/>
            <w:gridSpan w:val="2"/>
          </w:tcPr>
          <w:p>
            <w:pPr>
              <w:jc w:val="right"/>
              <w:ind w:right="9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end of the period</w:t>
            </w:r>
          </w:p>
        </w:tc>
        <w:tc>
          <w:tcPr>
            <w:tcW w:w="74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84,836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9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74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280" w:type="dxa"/>
            <w:vAlign w:val="bottom"/>
            <w:gridSpan w:val="2"/>
          </w:tcPr>
          <w:p>
            <w:pPr>
              <w:spacing w:after="0"/>
              <w:rPr>
                <w:sz w:val="20"/>
                <w:szCs w:val="20"/>
                <w:color w:val="auto"/>
              </w:rPr>
            </w:pPr>
            <w:r>
              <w:rPr>
                <w:rFonts w:ascii="Arial" w:cs="Arial" w:eastAsia="Arial" w:hAnsi="Arial"/>
                <w:sz w:val="14"/>
                <w:szCs w:val="14"/>
                <w:color w:val="auto"/>
              </w:rPr>
              <w:t>Deferred offering costs included in accrued offering costs and expenses</w:t>
            </w: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4"/>
          <w:szCs w:val="14"/>
          <w:b w:val="1"/>
          <w:bCs w:val="1"/>
          <w:color w:val="auto"/>
        </w:rPr>
        <w:t>BIG CYPRESS ACQUISITION CORP.</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Business Operations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Big Cypress Acquisition Corp. (the “Company”) is a newly organized blank check company incorporated in Delaware on November 12, 2020. The Company was formed for the purpose of effecting a merger, capital stock exchange, asset acquisition, stock purchase, reorganization or similar business combination with one or more businesses (“Business Combination”). The Company has not selected any specific business combination target and the Company has not, nor has anyone on its behalf, initiated any substantive discussions, directly or indirectly, with any business combination target with respect to the Business Combination.</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of December 31, 2020, the Company had not commenced any operations. All activity for the period from November 12, 2020 (inception) through December 31, 2020 relates to the Company’s formation and preparation for the Initial Public Offering (“IPO”) as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as described below. The Company has selected December 31 as its fiscal year end.</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sponsor is Big Cypress Holdings LLC, a Delaware limited liability company (the “Sponsor”). Subsequent to December 31, 2020, the registration statement for the Company’s IPO was declared effective by the U.S. Securities and Exchange Commission (the “SEC”) on January 11, 2021 (the “Effective Date”). On January 14, 2021, the Company consummated the IPO of 11,500,000 units (the “Units”), which included the full exercise by the underwriters of the over-allotment option to purchase an additional 1,500,000 Units, at $10.00 per Unit, generating gross proceeds of $115,000,000, which is discussed in Note 3. Simultaneously with the closing of the IPO, the Company consummated the sale of 417,200 units (the “Placement Units”), at a price of $10.00 per unit, generating gross proceeds of $4,172,000, which is discussed in Note 4. Each Unit consists of one share of common stock, and one-half redeemable warrant to purchase one share of common stock at a price of $11.50 per whole share.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Transaction costs of the IPO amounted to $6,038,360 consisting of $1,529,500 of underwriting fee, $4,220,500 of deferred underwriting fee, and $288,360 of other offering costs (see Note 8).</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Following the closing of the IPO on January 14, 2021, $116,150,000 ($10.10 per Unit) from the net offering proceeds of the sale of the Units in the IPO and the sale of the Placement Units was placed in a trust account (the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Except with respect to interest earned on the funds held in the Trust Account that may be released to the Company to pay its franchise and income tax obligations (less up to $100,000 of interest to pay dissolution expenses), the proceeds from this IPO and the sale of the Placement Units will not be released from the trust account until the earliest of (a) the completion of the Company’s initial business combination, (b) the redemption of any public shares properly submitted in connection with a stockholder vote to amend the Company’s amended and restated certificate of incorporation, and (c) the redemption of the Company’s public shares if the Company is unable to complete the initial business combination within 15 months (or up to 21 months) from the closing of this IPO, subject to applicable law. The proceeds deposited in the trust account could become subject to the claims of the Company’s creditors, if any, which could have priority over the claims of the Company’s public stockholders.</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will provide its public stockholders with the opportunity to redeem all or a portion of their public shares upon the completion of the initial business combination either (i) in connection with a stockholder meeting called to approve the initial business combination or (ii) by means of a tender offer. The decision as to whether the Company will seek stockholder approval of a proposed initial business combination or conduct a tender offer will be made by the Company, solely in its discretion.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shares of common stock subject to redemption will be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6" w:name="page137"/>
    <w:bookmarkEnd w:id="136"/>
    <w:p>
      <w:pPr>
        <w:jc w:val="both"/>
        <w:spacing w:after="0" w:line="292" w:lineRule="auto"/>
        <w:rPr>
          <w:sz w:val="20"/>
          <w:szCs w:val="20"/>
          <w:color w:val="auto"/>
        </w:rPr>
      </w:pPr>
      <w:r>
        <w:rPr>
          <w:rFonts w:ascii="Arial" w:cs="Arial" w:eastAsia="Arial" w:hAnsi="Arial"/>
          <w:sz w:val="13"/>
          <w:szCs w:val="13"/>
          <w:color w:val="auto"/>
        </w:rPr>
        <w:t>The Company will have 15 months (or up to 21 months) from the closing of the IPO to consummate a Business Combination (the “Combination Period”). However, if the Company is unable to complete a Business Combination within the Combination Period, the Company will redeem 100% of the outstanding public shares for a pro rata portion of the funds held in the trust account, equal to the aggregate amount then on deposit in the trust account including interest earned on the funds held in the trust account and not previously released to the Company to pay its franchise and income taxes, divided by the number of then outstanding public shares, subject to applicable law and as further described in registration statement, and then seek to dissolve and liquidate.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Sponsor, officers and directors have agreed to (i) waive their redemption rights with respect to their founder shares and placement shares in connection with the completion of the initial business combination, (ii) waive their redemption rights with respect to their founder shares and placement shares in connection with a stockholder vote to approve an amendment to the Company’s amended and restated certificate of incorporation, and (iii) waive their rights to liquidating distributions from the trust account with respect to their founder shares and placement shares if the Company fails to complete the initial business combination within the Combination Period.</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Company’s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this offering against certain liabilities, including liabilities under the Securities Act. However, the Company has not asked its Sponsor to reserve for such indemnification obligations, nor has the Company independently verified whether its Sponsor has sufficient funds to satisfy its indemnity obligations and believe that the Company’s Sponsor’s only assets are securities of the Company. Therefore, the Company cannot assure that its Sponsor would be able to satisfy those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2020, the Company had $84,836 in cash and working capital deficit of $219,107 (excluding deferred offering costs). The Company’s liquidity needs up to December 31, 2020 had been satisfied through a capital contribution from the Sponsor of $25,000 (see Note 5) for the founder shares and the loan under an unsecured promissory note from the Sponsor of $150,000 (see Note 5).</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Subsequent to December 31, 2020, on January 14, 2021, simultaneous with the consummation of the IPO, the net proceeds from the consummation of the Private Placement not held in Trust were deposited into the Company’s operating bank account (see Note 8). As of January 14, 2021, the Company had approximately $1.2 million in its operating bank account, and working capital of approximately $1.2 million. In addition, in order to finance transaction costs in connection with a Business Combination, the Company’s Sponsor or an affiliate of the Sponsor or certain of the Company’s officers and directors may, but are not obligated to, provide the Company Working Capital Loans (see Note 5). To date, there were no amounts outstanding under any Working Capital Loans.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Based on the foregoing, management believes that the Company will have sufficient working capital and borrowing capacity to meet its needs through the earlier of the consummation of a Business Combination or one year from this filing.</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Management continuing to evaluate the impact of the COVID-19 pandemic and has concluded that while it is reasonably possible that it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color w:val="auto"/>
        </w:rPr>
        <w:t>Note 2 —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accompanying financial statements are presented in conformity with accounting principles generally accepted in the United States of America (“US GAAP”) and pursuant to the rules and regulations of the U.S. Securities and Exchange Commission (the “SEC”).</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considers all short-term investments with an original maturity of three months or less when purchased to be cash equivalents. The Company did not have any cash equivalents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Deferred offering costs consist of legal, accounting and other expenses incurred through the balance sheet date that are directly related to the IPO and that will be charged to stockholders’ equity upon the completion of the IPO.</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Company’s assets and liabilities approximates the carrying amounts represented in the accompanying balance sheet, primarily due to their short-term nature.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Net loss per share is computed by dividing net loss by the weighted average number of shares of common stock outstanding during the period, excluding common stock subject to forfeiture. Weighted average shares were reduced for the effect of an aggregate of 375,000 shares of common stock that are subject to forfeiture if the over-allotment option is not exercised by the underwriters (see Note 5 and Note 8). As a result of the underwriter’s election to fully exercise their over-allotment option on January 14, 2021, the 375,000 Founder Shares are no longer subject to forfeiture (see Note 8). At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color w:val="auto"/>
        </w:rPr>
        <w:t>Income Taxes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The deferred tax assets were deemed to be de minimus as of December 31, 2020.</w:t>
      </w:r>
    </w:p>
    <w:p>
      <w:pPr>
        <w:spacing w:after="0" w:line="145"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has identified the United States as its only “major” tax jurisdiction. The Company is subject to income tax examinations by major taxing authorities since inception. These potential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The provision for income taxes was deemed to be de minimus for the period from November 12, 2020 (inception) through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86"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Management does not believe that any recently issued, but not effective, accounting standards, if currently adopted, would have a material effect on the Company’s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Initial Public Offering</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January 14, 2021, the Company sold 11,500,000 at a purchase price of $10.00 per Unit, which includes the full exercise by the underwriters of the over-allotment option to purchase an additional 1,500,000 Units (see Note 8). Each Unit consists of one share of common stock, and one-half warrant to purchase one share of common stock (“Public Warrant”). Each Public Warrant entitles the holder thereof to purchase one share of common stock at a price of $11.50 per share, subject to adjustment. Each warrant will become exercisable on the later of 30 days after the completion of the initial Business Combination or 12 months from the closing of this offering and will expire five years after the completion of the initial Business Combination, or earlier upon redemption or liquidation. (see Note 7).</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Private Placement</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Simultaneously with the closing of the IPO, the Sponsor purchased an aggregate of 417,200 Placement Units, at a price of $10.00 per Placement Unit, for an aggregate purchase price of $4,172,000, in a private placement. A portion of the proceeds from the private placement was added to the proceeds from the IPO held in the Trust Account (see Note 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39" w:name="page140"/>
    <w:bookmarkEnd w:id="139"/>
    <w:p>
      <w:pPr>
        <w:jc w:val="both"/>
        <w:spacing w:after="0" w:line="271" w:lineRule="auto"/>
        <w:rPr>
          <w:sz w:val="20"/>
          <w:szCs w:val="20"/>
          <w:color w:val="auto"/>
        </w:rPr>
      </w:pPr>
      <w:r>
        <w:rPr>
          <w:rFonts w:ascii="Arial" w:cs="Arial" w:eastAsia="Arial" w:hAnsi="Arial"/>
          <w:sz w:val="14"/>
          <w:szCs w:val="14"/>
          <w:color w:val="auto"/>
        </w:rPr>
        <w:t>Each Placement Unit was identical to the Units sold in the IPO, except for the placement warrants (“Placement Warrants”) (see Note 7). If the Company does not complete its initial business combination within 15 months (or up to 21 months) from the closing of this IPO, the proceeds from the sale of the Placement Units held in the trust account will be used to fund the redemption of its public shares (subject to the requirements of applicable law) and the Placement Warrants will expire worthless.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Related Party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Founder Shares</w:t>
      </w:r>
    </w:p>
    <w:p>
      <w:pPr>
        <w:spacing w:after="0" w:line="186"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On November 12, 2020, the Company issued 2,156,250 shares of common stock to the Sponsor for $25,000 in cash, or approximately $0.012 per share, in connection with formation. On December 7, 2020, the Sponsor forfeited 161,719 founder shares to the Company and Ladenburg Thalmann &amp; Co. Inc., the representative of the underwriters, and certain of its employees (“Ladenburg”) purchased from the Company an aggregate of 161,719 representative shares at an average purchase price of approximately $0.012 per share, for an aggregate purchase price of $1,875.</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3, 2021, the Company effected a stock dividend of 1/3 of a share of common stock for every share of common stock outstanding, resulting in an aggregate of 2,875,000 founder shares outstanding (including up to 375,000 shares subject to forfeiture to the extent that the underwriters’ over-allotment was not exercised in full or in part). As a result of the underwriters’ election to fully exercise of their over-allotment option on January 14, 2021, the 375,000 shares were no longer subject to forfeiture (see Note 7).</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As a result, the Sponsor currently own 2,630,625 shares (see Note 7). All shares of common stock and associated amounts have been retroactively restated as disclosed in Note 7.</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Sponsor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Representative Shares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On December 7, 2020, the Sponsor forfeited 161,719 founder shares to the Company and Ladenburg and certain of its employees purchased from the Company an aggregate of 161,719 representative shares at an average purchase price of approximately $0.012 per share, for an aggregate purchase price of $1,875. 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Following the 1/3 common stock dividend effected January 3, 2020 (as described herein), Ladenburg and certain of its employees now hold an aggregate of 244,375 representative shares (of which up to 31,875 were subject to forfeiture). As a result of the underwriters’ election to fully exercise of their over-allotment option, the 31,875 shares were no longer subject to forfeiture (see Note 8). All shares of common stock and associated amounts have been retroactively restated as disclosed in Note 8.</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Ladenburg and certain of its employees have entered into a subscription agreement with the Company, pursuant to which they have agreed to (i) waive their redemption rights with respect to their representative shares, as applicable, and public shares in connection with the completion of our initial business combination, (ii) waive their redemption rights with respect to their representative shares, as applicable, (iii) waive their rights to liquidating distributions from the trust account with respect to their representative shares if the Company fails to complete the initial business combination within the Combination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color w:val="auto"/>
        </w:rPr>
        <w:t>Promissory Note — Related Party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November 19, 2020, Company issued an unsecured promissory note to the Sponsor for an aggregate of up to $250,000 to cover expenses related to the IPO. This loan is non-interest bearing and payable on the earlier of March 31, 2021 or the completion of the IPO. As of December 31, 2020, the Company has drawn down $150,000 under the promissory note. On January 14, 2021, the Company paid the balance on the note from the proceeds of the IPO (see Note 8).</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Party Loans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working capital held outside the Trust Account to repay the Working Capital Loans but no proceeds from the Trust Account would be used to repay the Working Capital Loans. Up to $1,500,000 of such Working Capital Loans may be convertible into units at a price of $10.00 per unit at the option of the lender, upon consummation of the Company’s Initial Business Combination. The units would be identical to the Placement Units. At January 14, 2021, no Working Capital Loans were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Administrative Service Fee</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agreed to pay an affiliate of the Company’s Sponsor a monthly fee of an aggregate of $10,000 for office space, utilities and secretarial and administrative support. Upon completion of the Company’s Business Combination or its liquidation, the Company will cease paying these monthly fees. As of December 31, 2020, the Company has recorded $7,742 in service fee expense.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Underwriting Agreement</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 had a 45-day option from the date of the IPO to purchase up to an aggregate of 1,500,000 additional Units at the public offering price less the underwriting commissions to cover over-allotments, if any. On January 14, 2021, the underwriter fully exercised its over-allotment option (see Note 8).</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underwriter was entitled to a cash underwriting fee of 1.33% of the gross proceeds of the IPO and, upon consummation of the IPO on January 14, 2021, was paid an aggregate of $1,529,500.</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are entitled to deferred underwriting fee of 3.67% of the gross proceeds of the IPO, or $4,220,500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holders of the founder shares, representative shares, placement units, and units that may be issued upon conversion of working capital loans will have registration rights to require the Company to register a sale of any of its securities held by them pursuant to a registration rights agreement to be signed prior to or on the effective date of this offering. These holders will be entitled to make up to three demands, excluding short form registration demands, that the Company registers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color w:val="auto"/>
        </w:rPr>
        <w:t>Note 7 — Stockholders’ Equity</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 xml:space="preserve">Preferred Stock </w:t>
      </w:r>
      <w:r>
        <w:rPr>
          <w:rFonts w:ascii="Arial" w:cs="Arial" w:eastAsia="Arial" w:hAnsi="Arial"/>
          <w:sz w:val="14"/>
          <w:szCs w:val="14"/>
          <w:color w:val="auto"/>
        </w:rPr>
        <w:t>— The Company is authorized to issue a total of 1,000,000 preferred shares at par value of $0.0001 each. At December 31, 2021, there were no shares of preferred stock issued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outstanding.</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i w:val="1"/>
          <w:iCs w:val="1"/>
          <w:color w:val="auto"/>
        </w:rPr>
        <w:t xml:space="preserve">Common Stock </w:t>
      </w:r>
      <w:r>
        <w:rPr>
          <w:rFonts w:ascii="Arial" w:cs="Arial" w:eastAsia="Arial" w:hAnsi="Arial"/>
          <w:sz w:val="14"/>
          <w:szCs w:val="14"/>
          <w:color w:val="auto"/>
        </w:rPr>
        <w:t>— The Company is authorized to issue a total of 50,000,000 share of common stock at par value of $0.0001 each. At November 20, 2020, the Company issued 2,156,250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to its initial stockholders for $25,000, or approximately $0.012 per share. On December 7, 2020, the Sponsor forfeited 161,719 founder shares to the Company and Ladenburg and certain of its employees purchased from the Company an aggregate of 161,719 representative shares at an average purchase price of approximately $0.012 per share, for an aggregate purchase price of $1,875.</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January 3, 2021, the Company effected a stock dividend of 1/3 of a share of common stock for every share of common stock outstanding, resulting in an aggregate of 2,875,000 founder shares outstanding (including up to 375,000 shares subject to forfeiture to the extent that the underwriters’ over-allotment is not exercised in full or in part). 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As a result, the Sponsor currently own 2,630,625 shares and Ladenburg and certain of its employees currently own 244,375 representative shares (including up to 343,125 and 31,875 shares, respectively, that were subject to forfeiture to the extent that the underwriters’ over-allotment was not exercised in full or in part). As a result of the underwriters’ election to fully exercise of their over-allotment option on January 14, 2021, the 375,000 shares were no longer subject to forfeiture (see Note 8). All shares of common stock and associated amounts have been retroactively restated.</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initial stockholder has agreed not to transfer, assign or sell 50% of its founder shares until the earlier to occur of (A) six months after the completion of the Company’s initial business combination or (B) the date the last sale price of the Company’s common stock equals or exceeds $12.50 per share (as adjusted for stock splits, stock dividends, reorganizations, recapitalizations and the like) for any 20 trading days within any 30-trading day period commencing after the Company’s initial business combination, and not to transfer, assign or sell the remaining 50% of the founder shares until six months after the completion of the Company’s initial business combination, or earlier, if, in either case, subsequent to the Company’s initial business combination, the date on which the Company completes a liquidation, merger, capital stock exchange or other similar transaction that results in all of its stockholders having the right to exchange their shares of common stock for cash, securities or other property. Any permitted transferees will be subject to the same restrictions and other agreements of the Company’s initial stockholders with respect to any founder shares.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Warrants </w:t>
      </w:r>
      <w:r>
        <w:rPr>
          <w:rFonts w:ascii="Arial" w:cs="Arial" w:eastAsia="Arial" w:hAnsi="Arial"/>
          <w:sz w:val="13"/>
          <w:szCs w:val="13"/>
          <w:color w:val="auto"/>
        </w:rPr>
        <w:t>— Each whole warrant entitles the holder to purchase one share of the Company’s common stock at a price of $11.50 per share, subject to adjustment as discussed herein. In addition, if</w:t>
      </w:r>
    </w:p>
    <w:p>
      <w:pPr>
        <w:spacing w:after="0" w:line="32" w:lineRule="exact"/>
        <w:rPr>
          <w:sz w:val="20"/>
          <w:szCs w:val="20"/>
          <w:color w:val="auto"/>
        </w:rPr>
      </w:pPr>
    </w:p>
    <w:p>
      <w:pPr>
        <w:jc w:val="both"/>
        <w:ind w:firstLine="6"/>
        <w:spacing w:after="0" w:line="280" w:lineRule="auto"/>
        <w:tabs>
          <w:tab w:leader="none" w:pos="206"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Company’s board of directors and, in the case of any such issuance to the Company’s Sponsor or its affiliates, without taking into account any founder shares held by the Company’s Sponsor or its affiliates,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common stock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warrants will become exercisable on the later of 12 months from the closing of this offering or 30 days after the completion of its initial business combination, and will expire five years after the completion of the Company’s initial business combination, at 5:00 p.m., New York City time, or earlier upon redemption or liquidation.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is current. No warrant will be exercisable and the Company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Once the warrants become exercisable, the Company may call the warrants for redemption:</w:t>
      </w:r>
    </w:p>
    <w:p>
      <w:pPr>
        <w:spacing w:after="0" w:line="182" w:lineRule="exact"/>
        <w:rPr>
          <w:sz w:val="20"/>
          <w:szCs w:val="20"/>
          <w:color w:val="auto"/>
        </w:rPr>
      </w:pPr>
    </w:p>
    <w:p>
      <w:pPr>
        <w:ind w:left="520" w:hanging="257"/>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whole and not in part;</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at a price of $0.01 per warrant;</w:t>
      </w:r>
    </w:p>
    <w:p>
      <w:pPr>
        <w:spacing w:after="0" w:line="182" w:lineRule="exact"/>
        <w:rPr>
          <w:rFonts w:ascii="Arial" w:cs="Arial" w:eastAsia="Arial" w:hAnsi="Arial"/>
          <w:sz w:val="14"/>
          <w:szCs w:val="14"/>
          <w:color w:val="auto"/>
        </w:rPr>
      </w:pPr>
    </w:p>
    <w:p>
      <w:pPr>
        <w:ind w:left="520" w:hanging="257"/>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upon not less than 30 days’ prior written notice of redemption (the “30-day redemption period”) to each warrant holder; and</w:t>
      </w:r>
    </w:p>
    <w:p>
      <w:pPr>
        <w:spacing w:after="0" w:line="182" w:lineRule="exact"/>
        <w:rPr>
          <w:rFonts w:ascii="Arial" w:cs="Arial" w:eastAsia="Arial" w:hAnsi="Arial"/>
          <w:sz w:val="14"/>
          <w:szCs w:val="14"/>
          <w:color w:val="auto"/>
        </w:rPr>
      </w:pPr>
    </w:p>
    <w:p>
      <w:pPr>
        <w:ind w:left="520" w:hanging="257"/>
        <w:spacing w:after="0" w:line="326" w:lineRule="auto"/>
        <w:tabs>
          <w:tab w:leader="none" w:pos="5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if, and only if, the reported last sale price of the common stock equals or exceeds $18.00 per share (as adjusted for stock splits, stock dividends, reorganizations, recapitalizations and the like) for any 20 trading days within a 30-trading day period ending three business days before the Company send the notice of redemption to the warrant holders.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Placement Warrants will be identical to the Public Warrants underlying the Units being sold in the IPO, except that the Placement Warrants and the common stock issuable upon the exercise of the Placement Warrants will not be transferable, assignable or saleable until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If the Company calls the warrants for redemption as described above, the management will have the option to require any holder that wishes to exercise its warrant to do so on a “cashless basis.” If the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warrants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Subsequent Events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January 3, 2021, the Company effected a stock dividend of 1/3 of a share of common stock for every share of common stock outstanding, resulting in an aggregate of 2,875,000 founder shares outstanding (including up to 375,000 shares subject to forfeiture to the extent that the underwriters’ over-allotment is not exercised in full or in part). On January 4, 2021, the Sponsor forfeited 28,750 founder shares to the Company and Ladenburg and certain of its employees purchased from the Company an aggregate of 28,750 representative shares at an average purchase price of approximately $0.008 per share, for an aggregate purchase price of $230. As a result, the Sponsor currently own 2,630,625 shares and Ladenburg and certain of its employees currently own 244,375 representative shares (including up to 343,125 and 31,875 shares, respectively, that were subject to forfeiture to the extent that the underwriters’ over-allotment was not exercised in full or in part). As a result of the underwriters’ election to fully exercise of their over-allotment option on January 14, 2021, the 375,000 shares were no longer subject to forfeiture All shares of common stock and associated amounts have been retroactively restated.</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January 14, 2021, the Company the Company consummated the IPO of 11,500,000 units (the “Units”), which included the full exercise by the underwriters of the over-allotment option to purchase an additional 1,500,000 Units, at $10.00 per Unit, generating gross proceeds of $115,000,000. Simultaneously with the closing of the IPO, the Company consummated the sale of 417,200 units (the “Placement Units”), at a price of $10.00 per unit, for an aggregate purchase price of $4,172,000, in a private placement. Transaction costs of the IPO amounted to $6,038,360 consisting of $1,529,500 of underwriting fee, $4,220,500 of deferred underwriting fee, and $288,360 of other offering costs.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On January 14, 2021, the Company paid the $150,000 balance on the promissory note from the proceeds of the IPO.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r>
      <w:tr>
        <w:trPr>
          <w:trHeight w:val="172"/>
        </w:trPr>
        <w:tc>
          <w:tcPr>
            <w:tcW w:w="242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2420" w:type="dxa"/>
            <w:vAlign w:val="bottom"/>
          </w:tcPr>
          <w:p>
            <w:pPr>
              <w:spacing w:after="0"/>
              <w:rPr>
                <w:sz w:val="20"/>
                <w:szCs w:val="20"/>
                <w:color w:val="auto"/>
              </w:rPr>
            </w:pPr>
            <w:r>
              <w:rPr>
                <w:rFonts w:ascii="Arial" w:cs="Arial" w:eastAsia="Arial" w:hAnsi="Arial"/>
                <w:sz w:val="14"/>
                <w:szCs w:val="14"/>
                <w:color w:val="auto"/>
              </w:rPr>
              <w:t>Current assets</w:t>
            </w: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10,750,762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12,610,383</w:t>
            </w:r>
          </w:p>
        </w:tc>
      </w:tr>
      <w:tr>
        <w:trPr>
          <w:trHeight w:val="172"/>
        </w:trPr>
        <w:tc>
          <w:tcPr>
            <w:tcW w:w="24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10,213,217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4"/>
                <w:szCs w:val="14"/>
                <w:color w:val="auto"/>
              </w:rPr>
              <w:t>20,569,497</w:t>
            </w:r>
          </w:p>
        </w:tc>
      </w:tr>
      <w:tr>
        <w:trPr>
          <w:trHeight w:val="202"/>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4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943,574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1,275,134</w:t>
            </w:r>
          </w:p>
        </w:tc>
        <w:tc>
          <w:tcPr>
            <w:tcW w:w="100" w:type="dxa"/>
            <w:vAlign w:val="bottom"/>
            <w:shd w:val="clear" w:color="auto" w:fill="CCEEFF"/>
          </w:tcPr>
          <w:p>
            <w:pPr>
              <w:spacing w:after="0"/>
              <w:rPr>
                <w:sz w:val="17"/>
                <w:szCs w:val="17"/>
                <w:color w:val="auto"/>
              </w:rPr>
            </w:pPr>
          </w:p>
        </w:tc>
      </w:tr>
      <w:tr>
        <w:trPr>
          <w:trHeight w:val="154"/>
        </w:trPr>
        <w:tc>
          <w:tcPr>
            <w:tcW w:w="2420" w:type="dxa"/>
            <w:vAlign w:val="bottom"/>
            <w:tcBorders>
              <w:top w:val="single" w:sz="8" w:color="CCEEFF"/>
            </w:tcBorders>
          </w:tcPr>
          <w:p>
            <w:pPr>
              <w:ind w:left="300"/>
              <w:spacing w:after="0" w:line="153" w:lineRule="exact"/>
              <w:rPr>
                <w:sz w:val="20"/>
                <w:szCs w:val="20"/>
                <w:color w:val="auto"/>
              </w:rPr>
            </w:pPr>
            <w:r>
              <w:rPr>
                <w:rFonts w:ascii="Arial" w:cs="Arial" w:eastAsia="Arial" w:hAnsi="Arial"/>
                <w:sz w:val="14"/>
                <w:szCs w:val="14"/>
                <w:color w:val="auto"/>
              </w:rPr>
              <w:t>Total current assets</w:t>
            </w:r>
          </w:p>
        </w:tc>
        <w:tc>
          <w:tcPr>
            <w:tcW w:w="46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21,907,553</w:t>
            </w:r>
          </w:p>
        </w:tc>
        <w:tc>
          <w:tcPr>
            <w:tcW w:w="1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34,455,014</w:t>
            </w:r>
          </w:p>
        </w:tc>
        <w:tc>
          <w:tcPr>
            <w:tcW w:w="100" w:type="dxa"/>
            <w:vAlign w:val="bottom"/>
            <w:tcBorders>
              <w:top w:val="single" w:sz="8" w:color="CCEEFF"/>
            </w:tcBorders>
          </w:tcPr>
          <w:p>
            <w:pPr>
              <w:spacing w:after="0"/>
              <w:rPr>
                <w:sz w:val="13"/>
                <w:szCs w:val="13"/>
                <w:color w:val="auto"/>
              </w:rPr>
            </w:pPr>
          </w:p>
        </w:tc>
      </w:tr>
      <w:tr>
        <w:trPr>
          <w:trHeight w:val="172"/>
        </w:trPr>
        <w:tc>
          <w:tcPr>
            <w:tcW w:w="242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80"/>
          </w:cols>
          <w:pgMar w:left="300" w:top="554" w:right="319" w:bottom="1440" w:gutter="0" w:footer="0" w:header="0"/>
        </w:sectPr>
      </w:pPr>
    </w:p>
    <w:p>
      <w:pPr>
        <w:spacing w:after="0"/>
        <w:rPr>
          <w:sz w:val="20"/>
          <w:szCs w:val="20"/>
          <w:color w:val="auto"/>
        </w:rPr>
      </w:pPr>
      <w:r>
        <w:rPr>
          <w:rFonts w:ascii="Arial" w:cs="Arial" w:eastAsia="Arial" w:hAnsi="Arial"/>
          <w:sz w:val="12"/>
          <w:szCs w:val="12"/>
          <w:color w:val="auto"/>
        </w:rPr>
        <w:t>Operating lease right-of-use assets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Financing lease right-of-use assets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Equipment, net</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2,590,682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3,053,022</w:t>
            </w:r>
          </w:p>
        </w:tc>
      </w:tr>
      <w:tr>
        <w:trPr>
          <w:trHeight w:val="181"/>
        </w:trPr>
        <w:tc>
          <w:tcPr>
            <w:tcW w:w="6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4,064,568</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4,184,427</w:t>
            </w:r>
          </w:p>
        </w:tc>
      </w:tr>
      <w:tr>
        <w:trPr>
          <w:trHeight w:val="185"/>
        </w:trPr>
        <w:tc>
          <w:tcPr>
            <w:tcW w:w="66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22,568,477</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14,845,470</w:t>
            </w:r>
          </w:p>
        </w:tc>
      </w:tr>
      <w:tr>
        <w:trPr>
          <w:trHeight w:val="182"/>
        </w:trPr>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51,131,280</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56,537,933</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-374015</wp:posOffset>
            </wp:positionV>
            <wp:extent cx="7160260" cy="109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-4453255</wp:posOffset>
            </wp:positionH>
            <wp:positionV relativeFrom="paragraph">
              <wp:posOffset>-142240</wp:posOffset>
            </wp:positionV>
            <wp:extent cx="7160260" cy="129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6300" w:space="720"/>
            <w:col w:w="4260"/>
          </w:cols>
          <w:pgMar w:left="300" w:top="554"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Liabilities and Stockholders’ Equity</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Current liabilities</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640" w:type="dxa"/>
            <w:vAlign w:val="bottom"/>
            <w:shd w:val="clear" w:color="auto" w:fill="CCEEFF"/>
          </w:tcPr>
          <w:p>
            <w:pPr>
              <w:jc w:val="right"/>
              <w:ind w:right="52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4,122,602</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7,382,361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Notes payable - current portion</w:t>
            </w:r>
          </w:p>
        </w:tc>
        <w:tc>
          <w:tcPr>
            <w:tcW w:w="64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24,143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538,731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liabilities, current portion</w:t>
            </w:r>
          </w:p>
        </w:tc>
        <w:tc>
          <w:tcPr>
            <w:tcW w:w="6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1,035,211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924,265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Finance lease liabilities, current portion</w:t>
            </w:r>
          </w:p>
        </w:tc>
        <w:tc>
          <w:tcPr>
            <w:tcW w:w="64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180,243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194,717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to related party</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Deferred grant income</w:t>
            </w:r>
          </w:p>
        </w:tc>
        <w:tc>
          <w:tcPr>
            <w:tcW w:w="64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5,009,099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1,904,878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0" w:type="dxa"/>
            <w:vAlign w:val="bottom"/>
          </w:tcPr>
          <w:p>
            <w:pPr>
              <w:ind w:left="280"/>
              <w:spacing w:after="0" w:line="153" w:lineRule="exact"/>
              <w:rPr>
                <w:sz w:val="20"/>
                <w:szCs w:val="20"/>
                <w:color w:val="auto"/>
              </w:rPr>
            </w:pPr>
            <w:r>
              <w:rPr>
                <w:rFonts w:ascii="Arial" w:cs="Arial" w:eastAsia="Arial" w:hAnsi="Arial"/>
                <w:sz w:val="14"/>
                <w:szCs w:val="14"/>
                <w:color w:val="auto"/>
              </w:rPr>
              <w:t>Total current liabilities</w:t>
            </w:r>
          </w:p>
        </w:tc>
        <w:tc>
          <w:tcPr>
            <w:tcW w:w="64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10,471,298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11,061,730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Operating lease liabilities, noncurrent</w:t>
            </w:r>
          </w:p>
        </w:tc>
        <w:tc>
          <w:tcPr>
            <w:tcW w:w="6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1,753,527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2,372,777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Finance lease liabilities, noncurrent</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3,803,432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3,923,554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Notes payable, noncurrent</w:t>
            </w:r>
          </w:p>
        </w:tc>
        <w:tc>
          <w:tcPr>
            <w:tcW w:w="64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25,013</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172,037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16,053,270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17,530,098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14)</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4"/>
                <w:szCs w:val="14"/>
                <w:color w:val="auto"/>
                <w:w w:val="96"/>
              </w:rPr>
              <w:t>Series A Preferred stock; $0.0001 par value; 6,615,000 shares designated, issued and outstanding at September 30,</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020" w:type="dxa"/>
            <w:vAlign w:val="bottom"/>
            <w:gridSpan w:val="2"/>
          </w:tcPr>
          <w:p>
            <w:pPr>
              <w:spacing w:after="0"/>
              <w:rPr>
                <w:sz w:val="20"/>
                <w:szCs w:val="20"/>
                <w:color w:val="auto"/>
              </w:rPr>
            </w:pPr>
            <w:r>
              <w:rPr>
                <w:rFonts w:ascii="Arial" w:cs="Arial" w:eastAsia="Arial" w:hAnsi="Arial"/>
                <w:sz w:val="14"/>
                <w:szCs w:val="14"/>
                <w:color w:val="auto"/>
                <w:w w:val="97"/>
              </w:rPr>
              <w:t>2021 and December 31, 2020; liquidation preference of $6,615,000 at September 30, 2021 and December 31, 2020</w:t>
            </w:r>
          </w:p>
        </w:tc>
        <w:tc>
          <w:tcPr>
            <w:tcW w:w="64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662</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w w:val="94"/>
              </w:rPr>
              <w:t>Series A-1 Preferred stock; $0.0001 par value; 2,525,800 shares designated, issued, and outstanding at September 30,</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w w:val="97"/>
              </w:rPr>
              <w:t>2021 and December 31, 2020; liquidation preference of $4,752,040 at September 30, 2021 and December 31, 2020</w:t>
            </w:r>
          </w:p>
        </w:tc>
        <w:tc>
          <w:tcPr>
            <w:tcW w:w="6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4"/>
                <w:szCs w:val="14"/>
                <w:color w:val="auto"/>
                <w:w w:val="94"/>
              </w:rPr>
              <w:t>Series A-2 Preferred stock; $0.0001 par value; 4,039,963 shares designated, issued, and outstanding at September 30,</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020" w:type="dxa"/>
            <w:vAlign w:val="bottom"/>
            <w:gridSpan w:val="2"/>
          </w:tcPr>
          <w:p>
            <w:pPr>
              <w:spacing w:after="0"/>
              <w:rPr>
                <w:sz w:val="20"/>
                <w:szCs w:val="20"/>
                <w:color w:val="auto"/>
              </w:rPr>
            </w:pPr>
            <w:r>
              <w:rPr>
                <w:rFonts w:ascii="Arial" w:cs="Arial" w:eastAsia="Arial" w:hAnsi="Arial"/>
                <w:sz w:val="14"/>
                <w:szCs w:val="14"/>
                <w:color w:val="auto"/>
                <w:w w:val="96"/>
              </w:rPr>
              <w:t>2021 and December 31, 2020; liquidation preference of $12,119,889 at September 30, 2021 and December 31, 2020</w:t>
            </w:r>
          </w:p>
        </w:tc>
        <w:tc>
          <w:tcPr>
            <w:tcW w:w="64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404</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w w:val="96"/>
              </w:rPr>
              <w:t>Series A-2A Preferred stock; $0.0001 par value; 3,333,333 shares designated, issued, and outstanding at September</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w w:val="98"/>
              </w:rPr>
              <w:t>30, 2021 and December 31, 2020; liquidation preference of $9,999,999 at September 30, 2021 and December 31,</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000" w:type="dxa"/>
            <w:vAlign w:val="bottom"/>
          </w:tcPr>
          <w:p>
            <w:pPr>
              <w:spacing w:after="0"/>
              <w:rPr>
                <w:sz w:val="20"/>
                <w:szCs w:val="20"/>
                <w:color w:val="auto"/>
              </w:rPr>
            </w:pPr>
            <w:r>
              <w:rPr>
                <w:rFonts w:ascii="Arial" w:cs="Arial" w:eastAsia="Arial" w:hAnsi="Arial"/>
                <w:sz w:val="14"/>
                <w:szCs w:val="14"/>
                <w:color w:val="auto"/>
                <w:w w:val="96"/>
              </w:rPr>
              <w:t>Series B Preferred stock; $0.0001 par value; 8,571,429 shares designated at September 30, 2021 and December 31,</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20" w:type="dxa"/>
            <w:vAlign w:val="bottom"/>
            <w:gridSpan w:val="2"/>
          </w:tcPr>
          <w:p>
            <w:pPr>
              <w:spacing w:after="0"/>
              <w:rPr>
                <w:sz w:val="20"/>
                <w:szCs w:val="20"/>
                <w:color w:val="auto"/>
              </w:rPr>
            </w:pPr>
            <w:r>
              <w:rPr>
                <w:rFonts w:ascii="Arial" w:cs="Arial" w:eastAsia="Arial" w:hAnsi="Arial"/>
                <w:sz w:val="14"/>
                <w:szCs w:val="14"/>
                <w:color w:val="auto"/>
                <w:w w:val="94"/>
              </w:rPr>
              <w:t>2020; 4,090,540 shares issued and outstanding at September 30, 2021 and December 31, 2020; liquidation preference</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020" w:type="dxa"/>
            <w:vAlign w:val="bottom"/>
            <w:gridSpan w:val="2"/>
          </w:tcPr>
          <w:p>
            <w:pPr>
              <w:spacing w:after="0"/>
              <w:rPr>
                <w:sz w:val="20"/>
                <w:szCs w:val="20"/>
                <w:color w:val="auto"/>
              </w:rPr>
            </w:pPr>
            <w:r>
              <w:rPr>
                <w:rFonts w:ascii="Arial" w:cs="Arial" w:eastAsia="Arial" w:hAnsi="Arial"/>
                <w:sz w:val="14"/>
                <w:szCs w:val="14"/>
                <w:color w:val="auto"/>
              </w:rPr>
              <w:t>of $14,316,890 at September 30, 2021 and December 31, 2020</w:t>
            </w:r>
          </w:p>
        </w:tc>
        <w:tc>
          <w:tcPr>
            <w:tcW w:w="64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409</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w w:val="96"/>
              </w:rPr>
              <w:t>Common stock; $0.0001 par value; 110,000,000 shares designated at September 30, 2021 and December 31, 2020;</w:t>
            </w: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35,216,000 shares issued and outstanding at September 30, 2021 and December 31, 2020</w:t>
            </w:r>
          </w:p>
        </w:tc>
        <w:tc>
          <w:tcPr>
            <w:tcW w:w="6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3,522</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64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52,649,882</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50,986,672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deficit</w:t>
            </w:r>
          </w:p>
        </w:tc>
        <w:tc>
          <w:tcPr>
            <w:tcW w:w="6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(17,577,455)</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(11,984,420)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0" w:type="dxa"/>
            <w:vAlign w:val="bottom"/>
            <w:tcBorders>
              <w:top w:val="single" w:sz="8" w:color="CCEEFF"/>
              <w:bottom w:val="single" w:sz="8" w:color="CCEEFF"/>
            </w:tcBorders>
          </w:tcPr>
          <w:p>
            <w:pPr>
              <w:ind w:left="280"/>
              <w:spacing w:after="0" w:line="153" w:lineRule="exact"/>
              <w:rPr>
                <w:sz w:val="20"/>
                <w:szCs w:val="20"/>
                <w:color w:val="auto"/>
              </w:rPr>
            </w:pPr>
            <w:r>
              <w:rPr>
                <w:rFonts w:ascii="Arial" w:cs="Arial" w:eastAsia="Arial" w:hAnsi="Arial"/>
                <w:sz w:val="14"/>
                <w:szCs w:val="14"/>
                <w:color w:val="auto"/>
              </w:rPr>
              <w:t>Total stockholders’ equity</w:t>
            </w:r>
          </w:p>
        </w:tc>
        <w:tc>
          <w:tcPr>
            <w:tcW w:w="6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35,078,010</w:t>
            </w:r>
          </w:p>
        </w:tc>
        <w:tc>
          <w:tcPr>
            <w:tcW w:w="18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CCEEFF"/>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39,007,835</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tcPr>
          <w:p>
            <w:pPr>
              <w:ind w:left="280"/>
              <w:spacing w:after="0"/>
              <w:rPr>
                <w:sz w:val="20"/>
                <w:szCs w:val="20"/>
                <w:color w:val="auto"/>
              </w:rPr>
            </w:pPr>
            <w:r>
              <w:rPr>
                <w:rFonts w:ascii="Arial" w:cs="Arial" w:eastAsia="Arial" w:hAnsi="Arial"/>
                <w:sz w:val="14"/>
                <w:szCs w:val="14"/>
                <w:b w:val="1"/>
                <w:bCs w:val="1"/>
                <w:color w:val="auto"/>
              </w:rPr>
              <w:t>Total liabilities and stockholders’ equity</w:t>
            </w:r>
          </w:p>
        </w:tc>
        <w:tc>
          <w:tcPr>
            <w:tcW w:w="640" w:type="dxa"/>
            <w:vAlign w:val="bottom"/>
          </w:tcPr>
          <w:p>
            <w:pPr>
              <w:jc w:val="right"/>
              <w:ind w:right="529"/>
              <w:spacing w:after="0"/>
              <w:rPr>
                <w:sz w:val="20"/>
                <w:szCs w:val="20"/>
                <w:color w:val="auto"/>
              </w:rPr>
            </w:pPr>
            <w:r>
              <w:rPr>
                <w:rFonts w:ascii="Arial" w:cs="Arial" w:eastAsia="Arial" w:hAnsi="Arial"/>
                <w:sz w:val="10"/>
                <w:szCs w:val="10"/>
                <w:b w:val="1"/>
                <w:bCs w:val="1"/>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51,131,280</w:t>
            </w:r>
          </w:p>
        </w:tc>
        <w:tc>
          <w:tcPr>
            <w:tcW w:w="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56,537,933</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4"/>
                <w:szCs w:val="14"/>
                <w:color w:val="auto"/>
              </w:rPr>
              <w:t>See accompanying notes to the condensed consolidated financial statements.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00" w:type="dxa"/>
            <w:vAlign w:val="bottom"/>
            <w:tcBorders>
              <w:bottom w:val="single" w:sz="8" w:color="auto"/>
            </w:tcBorders>
          </w:tcPr>
          <w:p>
            <w:pPr>
              <w:ind w:left="5480"/>
              <w:spacing w:after="0"/>
              <w:rPr>
                <w:sz w:val="20"/>
                <w:szCs w:val="20"/>
                <w:color w:val="auto"/>
              </w:rPr>
            </w:pPr>
            <w:r>
              <w:rPr>
                <w:rFonts w:ascii="Arial" w:cs="Arial" w:eastAsia="Arial" w:hAnsi="Arial"/>
                <w:sz w:val="14"/>
                <w:szCs w:val="14"/>
                <w:color w:val="auto"/>
              </w:rPr>
              <w:t>F-31</w:t>
            </w:r>
          </w:p>
        </w:tc>
        <w:tc>
          <w:tcPr>
            <w:tcW w:w="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4" w:right="31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Grant revenue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w w:val="94"/>
              </w:rPr>
              <w:t>49,817,825</w:t>
            </w: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29,482,614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49,817,825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29,482,614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460" w:type="dxa"/>
            <w:vAlign w:val="bottom"/>
            <w:gridSpan w:val="2"/>
          </w:tcPr>
          <w:p>
            <w:pPr>
              <w:spacing w:after="0" w:line="153" w:lineRule="exact"/>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w w:val="94"/>
              </w:rPr>
              <w:t>46,535,671</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12,601,333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1020" w:type="dxa"/>
            <w:vAlign w:val="bottom"/>
          </w:tcPr>
          <w:p>
            <w:pPr>
              <w:spacing w:after="0"/>
              <w:rPr>
                <w:sz w:val="15"/>
                <w:szCs w:val="15"/>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rPr>
              <w:t>9,331,125</w:t>
            </w:r>
          </w:p>
        </w:tc>
        <w:tc>
          <w:tcPr>
            <w:tcW w:w="1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4,907,306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55,866,796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17,508,639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460" w:type="dxa"/>
            <w:vAlign w:val="bottom"/>
            <w:gridSpan w:val="2"/>
          </w:tcPr>
          <w:p>
            <w:pPr>
              <w:spacing w:after="0" w:line="153" w:lineRule="exact"/>
              <w:rPr>
                <w:sz w:val="20"/>
                <w:szCs w:val="20"/>
                <w:color w:val="auto"/>
              </w:rPr>
            </w:pPr>
            <w:r>
              <w:rPr>
                <w:rFonts w:ascii="Arial" w:cs="Arial" w:eastAsia="Arial" w:hAnsi="Arial"/>
                <w:sz w:val="14"/>
                <w:szCs w:val="14"/>
                <w:color w:val="auto"/>
              </w:rPr>
              <w:t>(Loss) income from operations</w:t>
            </w:r>
          </w:p>
        </w:tc>
        <w:tc>
          <w:tcPr>
            <w:tcW w:w="10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w w:val="92"/>
              </w:rPr>
              <w:t>(6,048,971)</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w w:val="94"/>
              </w:rPr>
              <w:t>11,973,975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Other income</w:t>
            </w:r>
          </w:p>
        </w:tc>
        <w:tc>
          <w:tcPr>
            <w:tcW w:w="1020" w:type="dxa"/>
            <w:vAlign w:val="bottom"/>
          </w:tcPr>
          <w:p>
            <w:pPr>
              <w:spacing w:after="0"/>
              <w:rPr>
                <w:sz w:val="14"/>
                <w:szCs w:val="14"/>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rPr>
              <w:t>669,549</w:t>
            </w:r>
          </w:p>
        </w:tc>
        <w:tc>
          <w:tcPr>
            <w:tcW w:w="10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(228,184)</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(325,789)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income</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14,571</w:t>
            </w:r>
          </w:p>
        </w:tc>
        <w:tc>
          <w:tcPr>
            <w:tcW w:w="3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(5,593,035</w:t>
            </w:r>
          </w:p>
        </w:tc>
        <w:tc>
          <w:tcPr>
            <w:tcW w:w="340" w:type="dxa"/>
            <w:vAlign w:val="bottom"/>
            <w:shd w:val="clear" w:color="auto" w:fill="CCEEFF"/>
          </w:tcPr>
          <w:p>
            <w:pPr>
              <w:jc w:val="right"/>
              <w:ind w:right="259"/>
              <w:spacing w:after="0"/>
              <w:rPr>
                <w:sz w:val="20"/>
                <w:szCs w:val="20"/>
                <w:color w:val="auto"/>
              </w:rPr>
            </w:pPr>
            <w:r>
              <w:rPr>
                <w:rFonts w:ascii="Arial" w:cs="Arial" w:eastAsia="Arial" w:hAnsi="Arial"/>
                <w:sz w:val="8"/>
                <w:szCs w:val="8"/>
                <w:color w:val="auto"/>
                <w:w w:val="73"/>
              </w:rPr>
              <w:t>)</w:t>
            </w:r>
          </w:p>
        </w:tc>
        <w:tc>
          <w:tcPr>
            <w:tcW w:w="1000" w:type="dxa"/>
            <w:vAlign w:val="bottom"/>
            <w:shd w:val="clear" w:color="auto" w:fill="CCEEFF"/>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11,673,099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7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Earnings (loss) per common share attributable to the Corporation’s shareholders</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Basic (loss) earnings per common share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rPr>
              <w:t>(0.16)</w:t>
            </w: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Diluted (loss) earnings per common share</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(0.16)</w:t>
            </w:r>
          </w:p>
        </w:tc>
        <w:tc>
          <w:tcPr>
            <w:tcW w:w="1000" w:type="dxa"/>
            <w:vAlign w:val="bottom"/>
            <w:shd w:val="clear" w:color="auto" w:fill="CCEEFF"/>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basic</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w w:val="94"/>
              </w:rPr>
              <w:t>35,216,000</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35,216,000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1020" w:type="dxa"/>
            <w:vAlign w:val="bottom"/>
          </w:tcPr>
          <w:p>
            <w:pPr>
              <w:spacing w:after="0"/>
              <w:rPr>
                <w:sz w:val="15"/>
                <w:szCs w:val="15"/>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w w:val="94"/>
              </w:rPr>
              <w:t>35,216,000</w:t>
            </w:r>
          </w:p>
        </w:tc>
        <w:tc>
          <w:tcPr>
            <w:tcW w:w="10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58,496,676</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ind w:right="4860"/>
        <w:spacing w:after="0" w:line="271" w:lineRule="auto"/>
        <w:rPr>
          <w:sz w:val="20"/>
          <w:szCs w:val="20"/>
          <w:color w:val="auto"/>
        </w:rPr>
      </w:pPr>
      <w:r>
        <w:rPr>
          <w:rFonts w:ascii="Arial" w:cs="Arial" w:eastAsia="Arial" w:hAnsi="Arial"/>
          <w:sz w:val="14"/>
          <w:szCs w:val="14"/>
          <w:b w:val="1"/>
          <w:bCs w:val="1"/>
          <w:color w:val="auto"/>
        </w:rPr>
        <w:t>Condensed Consolidated Statements of Changes In Redeemable Preferred Stock and Stockholders’ Equity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660" w:type="dxa"/>
            <w:vAlign w:val="bottom"/>
            <w:gridSpan w:val="2"/>
          </w:tcPr>
          <w:p>
            <w:pPr>
              <w:spacing w:after="0"/>
              <w:rPr>
                <w:sz w:val="10"/>
                <w:szCs w:val="10"/>
                <w:color w:val="auto"/>
              </w:rPr>
            </w:pPr>
          </w:p>
        </w:tc>
        <w:tc>
          <w:tcPr>
            <w:tcW w:w="9940" w:type="dxa"/>
            <w:vAlign w:val="bottom"/>
            <w:tcBorders>
              <w:bottom w:val="single" w:sz="8" w:color="auto"/>
            </w:tcBorders>
            <w:gridSpan w:val="98"/>
          </w:tcPr>
          <w:p>
            <w:pPr>
              <w:spacing w:after="0"/>
              <w:rPr>
                <w:sz w:val="20"/>
                <w:szCs w:val="20"/>
                <w:color w:val="auto"/>
              </w:rPr>
            </w:pPr>
            <w:r>
              <w:rPr>
                <w:rFonts w:ascii="Arial" w:cs="Arial" w:eastAsia="Arial" w:hAnsi="Arial"/>
                <w:sz w:val="10"/>
                <w:szCs w:val="10"/>
                <w:color w:val="auto"/>
              </w:rPr>
              <w:t>Stockholders’ Equity</w:t>
            </w:r>
          </w:p>
        </w:tc>
        <w:tc>
          <w:tcPr>
            <w:tcW w:w="7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800" w:type="dxa"/>
            <w:vAlign w:val="bottom"/>
            <w:gridSpan w:val="11"/>
          </w:tcPr>
          <w:p>
            <w:pPr>
              <w:spacing w:after="0"/>
              <w:rPr>
                <w:sz w:val="20"/>
                <w:szCs w:val="20"/>
                <w:color w:val="auto"/>
              </w:rPr>
            </w:pPr>
            <w:r>
              <w:rPr>
                <w:rFonts w:ascii="Arial" w:cs="Arial" w:eastAsia="Arial" w:hAnsi="Arial"/>
                <w:sz w:val="10"/>
                <w:szCs w:val="10"/>
                <w:color w:val="auto"/>
              </w:rPr>
              <w:t>Series A Preferred</w:t>
            </w:r>
          </w:p>
        </w:tc>
        <w:tc>
          <w:tcPr>
            <w:tcW w:w="1240" w:type="dxa"/>
            <w:vAlign w:val="bottom"/>
            <w:gridSpan w:val="13"/>
          </w:tcPr>
          <w:p>
            <w:pPr>
              <w:jc w:val="right"/>
              <w:ind w:right="380"/>
              <w:spacing w:after="0" w:line="96" w:lineRule="exact"/>
              <w:rPr>
                <w:sz w:val="20"/>
                <w:szCs w:val="20"/>
                <w:color w:val="auto"/>
              </w:rPr>
            </w:pPr>
            <w:r>
              <w:rPr>
                <w:rFonts w:ascii="Arial" w:cs="Arial" w:eastAsia="Arial" w:hAnsi="Arial"/>
                <w:sz w:val="10"/>
                <w:szCs w:val="10"/>
                <w:color w:val="auto"/>
                <w:w w:val="92"/>
              </w:rPr>
              <w:t>Series A-1 Preferred</w:t>
            </w:r>
          </w:p>
        </w:tc>
        <w:tc>
          <w:tcPr>
            <w:tcW w:w="1240" w:type="dxa"/>
            <w:vAlign w:val="bottom"/>
            <w:gridSpan w:val="13"/>
          </w:tcPr>
          <w:p>
            <w:pPr>
              <w:jc w:val="right"/>
              <w:ind w:right="380"/>
              <w:spacing w:after="0" w:line="96" w:lineRule="exact"/>
              <w:rPr>
                <w:sz w:val="20"/>
                <w:szCs w:val="20"/>
                <w:color w:val="auto"/>
              </w:rPr>
            </w:pPr>
            <w:r>
              <w:rPr>
                <w:rFonts w:ascii="Arial" w:cs="Arial" w:eastAsia="Arial" w:hAnsi="Arial"/>
                <w:sz w:val="10"/>
                <w:szCs w:val="10"/>
                <w:color w:val="auto"/>
                <w:w w:val="92"/>
              </w:rPr>
              <w:t>Series A-2 Preferred</w:t>
            </w:r>
          </w:p>
        </w:tc>
        <w:tc>
          <w:tcPr>
            <w:tcW w:w="1260" w:type="dxa"/>
            <w:vAlign w:val="bottom"/>
            <w:gridSpan w:val="13"/>
          </w:tcPr>
          <w:p>
            <w:pPr>
              <w:ind w:left="20"/>
              <w:spacing w:after="0" w:line="96" w:lineRule="exact"/>
              <w:rPr>
                <w:sz w:val="20"/>
                <w:szCs w:val="20"/>
                <w:color w:val="auto"/>
              </w:rPr>
            </w:pPr>
            <w:r>
              <w:rPr>
                <w:rFonts w:ascii="Arial" w:cs="Arial" w:eastAsia="Arial" w:hAnsi="Arial"/>
                <w:sz w:val="10"/>
                <w:szCs w:val="10"/>
                <w:color w:val="auto"/>
                <w:w w:val="89"/>
              </w:rPr>
              <w:t>Series A-2A Preferred</w:t>
            </w:r>
          </w:p>
        </w:tc>
        <w:tc>
          <w:tcPr>
            <w:tcW w:w="2520" w:type="dxa"/>
            <w:vAlign w:val="bottom"/>
            <w:gridSpan w:val="28"/>
          </w:tcPr>
          <w:p>
            <w:pPr>
              <w:jc w:val="right"/>
              <w:ind w:right="1670"/>
              <w:spacing w:after="0" w:line="96" w:lineRule="exact"/>
              <w:rPr>
                <w:sz w:val="20"/>
                <w:szCs w:val="20"/>
                <w:color w:val="auto"/>
              </w:rPr>
            </w:pPr>
            <w:r>
              <w:rPr>
                <w:rFonts w:ascii="Arial" w:cs="Arial" w:eastAsia="Arial" w:hAnsi="Arial"/>
                <w:sz w:val="10"/>
                <w:szCs w:val="10"/>
                <w:color w:val="auto"/>
                <w:w w:val="94"/>
              </w:rPr>
              <w:t>Series B Preferred</w:t>
            </w:r>
          </w:p>
        </w:tc>
        <w:tc>
          <w:tcPr>
            <w:tcW w:w="1760" w:type="dxa"/>
            <w:vAlign w:val="bottom"/>
            <w:gridSpan w:val="17"/>
          </w:tcPr>
          <w:p>
            <w:pPr>
              <w:jc w:val="right"/>
              <w:ind w:right="1270"/>
              <w:spacing w:after="0" w:line="96" w:lineRule="exact"/>
              <w:rPr>
                <w:sz w:val="20"/>
                <w:szCs w:val="20"/>
                <w:color w:val="auto"/>
              </w:rPr>
            </w:pPr>
            <w:r>
              <w:rPr>
                <w:rFonts w:ascii="Arial" w:cs="Arial" w:eastAsia="Arial" w:hAnsi="Arial"/>
                <w:sz w:val="10"/>
                <w:szCs w:val="10"/>
                <w:color w:val="auto"/>
                <w:w w:val="95"/>
              </w:rPr>
              <w:t>Additional</w:t>
            </w:r>
          </w:p>
        </w:tc>
        <w:tc>
          <w:tcPr>
            <w:tcW w:w="1540" w:type="dxa"/>
            <w:vAlign w:val="bottom"/>
            <w:gridSpan w:val="11"/>
          </w:tcPr>
          <w:p>
            <w:pPr>
              <w:jc w:val="right"/>
              <w:ind w:right="1040"/>
              <w:spacing w:after="0" w:line="96"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20"/>
        </w:trPr>
        <w:tc>
          <w:tcPr>
            <w:tcW w:w="2140" w:type="dxa"/>
            <w:vAlign w:val="bottom"/>
            <w:gridSpan w:val="17"/>
          </w:tcPr>
          <w:p>
            <w:pPr>
              <w:spacing w:after="0"/>
              <w:rPr>
                <w:sz w:val="20"/>
                <w:szCs w:val="20"/>
                <w:color w:val="auto"/>
              </w:rPr>
            </w:pPr>
            <w:r>
              <w:rPr>
                <w:rFonts w:ascii="Arial" w:cs="Arial" w:eastAsia="Arial" w:hAnsi="Arial"/>
                <w:sz w:val="10"/>
                <w:szCs w:val="10"/>
                <w:color w:val="auto"/>
              </w:rPr>
              <w:t>Stock</w:t>
            </w:r>
          </w:p>
        </w:tc>
        <w:tc>
          <w:tcPr>
            <w:tcW w:w="1220" w:type="dxa"/>
            <w:vAlign w:val="bottom"/>
            <w:gridSpan w:val="12"/>
          </w:tcPr>
          <w:p>
            <w:pPr>
              <w:jc w:val="right"/>
              <w:ind w:right="1000"/>
              <w:spacing w:after="0"/>
              <w:rPr>
                <w:sz w:val="20"/>
                <w:szCs w:val="20"/>
                <w:color w:val="auto"/>
              </w:rPr>
            </w:pPr>
            <w:r>
              <w:rPr>
                <w:rFonts w:ascii="Arial" w:cs="Arial" w:eastAsia="Arial" w:hAnsi="Arial"/>
                <w:sz w:val="10"/>
                <w:szCs w:val="10"/>
                <w:color w:val="auto"/>
                <w:w w:val="79"/>
              </w:rPr>
              <w:t>Stock</w:t>
            </w:r>
          </w:p>
        </w:tc>
        <w:tc>
          <w:tcPr>
            <w:tcW w:w="1240" w:type="dxa"/>
            <w:vAlign w:val="bottom"/>
            <w:gridSpan w:val="12"/>
          </w:tcPr>
          <w:p>
            <w:pPr>
              <w:jc w:val="right"/>
              <w:ind w:right="950"/>
              <w:spacing w:after="0"/>
              <w:rPr>
                <w:sz w:val="20"/>
                <w:szCs w:val="20"/>
                <w:color w:val="auto"/>
              </w:rPr>
            </w:pPr>
            <w:r>
              <w:rPr>
                <w:rFonts w:ascii="Arial" w:cs="Arial" w:eastAsia="Arial" w:hAnsi="Arial"/>
                <w:sz w:val="10"/>
                <w:szCs w:val="10"/>
                <w:color w:val="auto"/>
                <w:w w:val="87"/>
              </w:rPr>
              <w:t>Stock</w:t>
            </w:r>
          </w:p>
        </w:tc>
        <w:tc>
          <w:tcPr>
            <w:tcW w:w="1260" w:type="dxa"/>
            <w:vAlign w:val="bottom"/>
            <w:gridSpan w:val="15"/>
          </w:tcPr>
          <w:p>
            <w:pPr>
              <w:jc w:val="right"/>
              <w:ind w:right="1000"/>
              <w:spacing w:after="0"/>
              <w:rPr>
                <w:sz w:val="20"/>
                <w:szCs w:val="20"/>
                <w:color w:val="auto"/>
              </w:rPr>
            </w:pPr>
            <w:r>
              <w:rPr>
                <w:rFonts w:ascii="Arial" w:cs="Arial" w:eastAsia="Arial" w:hAnsi="Arial"/>
                <w:sz w:val="10"/>
                <w:szCs w:val="10"/>
                <w:color w:val="auto"/>
                <w:w w:val="95"/>
              </w:rPr>
              <w:t>Stock</w:t>
            </w:r>
          </w:p>
        </w:tc>
        <w:tc>
          <w:tcPr>
            <w:tcW w:w="1080" w:type="dxa"/>
            <w:vAlign w:val="bottom"/>
            <w:gridSpan w:val="9"/>
          </w:tcPr>
          <w:p>
            <w:pPr>
              <w:jc w:val="right"/>
              <w:ind w:right="840"/>
              <w:spacing w:after="0"/>
              <w:rPr>
                <w:sz w:val="20"/>
                <w:szCs w:val="20"/>
                <w:color w:val="auto"/>
              </w:rPr>
            </w:pPr>
            <w:r>
              <w:rPr>
                <w:rFonts w:ascii="Arial" w:cs="Arial" w:eastAsia="Arial" w:hAnsi="Arial"/>
                <w:sz w:val="10"/>
                <w:szCs w:val="10"/>
                <w:color w:val="auto"/>
                <w:w w:val="87"/>
              </w:rPr>
              <w:t>Stock</w:t>
            </w:r>
          </w:p>
        </w:tc>
        <w:tc>
          <w:tcPr>
            <w:tcW w:w="1120" w:type="dxa"/>
            <w:vAlign w:val="bottom"/>
            <w:gridSpan w:val="13"/>
          </w:tcPr>
          <w:p>
            <w:pPr>
              <w:jc w:val="center"/>
              <w:ind w:right="450"/>
              <w:spacing w:after="0"/>
              <w:rPr>
                <w:sz w:val="20"/>
                <w:szCs w:val="20"/>
                <w:color w:val="auto"/>
              </w:rPr>
            </w:pPr>
            <w:r>
              <w:rPr>
                <w:rFonts w:ascii="Arial" w:cs="Arial" w:eastAsia="Arial" w:hAnsi="Arial"/>
                <w:sz w:val="10"/>
                <w:szCs w:val="10"/>
                <w:color w:val="auto"/>
                <w:w w:val="90"/>
              </w:rPr>
              <w:t>Common Stock</w:t>
            </w:r>
          </w:p>
        </w:tc>
        <w:tc>
          <w:tcPr>
            <w:tcW w:w="780" w:type="dxa"/>
            <w:vAlign w:val="bottom"/>
            <w:gridSpan w:val="8"/>
          </w:tcPr>
          <w:p>
            <w:pPr>
              <w:jc w:val="right"/>
              <w:ind w:right="400"/>
              <w:spacing w:after="0"/>
              <w:rPr>
                <w:sz w:val="20"/>
                <w:szCs w:val="20"/>
                <w:color w:val="auto"/>
              </w:rPr>
            </w:pPr>
            <w:r>
              <w:rPr>
                <w:rFonts w:ascii="Arial" w:cs="Arial" w:eastAsia="Arial" w:hAnsi="Arial"/>
                <w:sz w:val="10"/>
                <w:szCs w:val="10"/>
                <w:color w:val="auto"/>
              </w:rPr>
              <w:t>Paid-In</w:t>
            </w:r>
          </w:p>
        </w:tc>
        <w:tc>
          <w:tcPr>
            <w:tcW w:w="980" w:type="dxa"/>
            <w:vAlign w:val="bottom"/>
            <w:gridSpan w:val="9"/>
          </w:tcPr>
          <w:p>
            <w:pPr>
              <w:jc w:val="center"/>
              <w:ind w:right="230"/>
              <w:spacing w:after="0"/>
              <w:rPr>
                <w:sz w:val="20"/>
                <w:szCs w:val="20"/>
                <w:color w:val="auto"/>
              </w:rPr>
            </w:pPr>
            <w:r>
              <w:rPr>
                <w:rFonts w:ascii="Arial" w:cs="Arial" w:eastAsia="Arial" w:hAnsi="Arial"/>
                <w:sz w:val="10"/>
                <w:szCs w:val="10"/>
                <w:color w:val="auto"/>
                <w:w w:val="93"/>
              </w:rPr>
              <w:t>Accumulated</w:t>
            </w:r>
          </w:p>
        </w:tc>
        <w:tc>
          <w:tcPr>
            <w:tcW w:w="1540" w:type="dxa"/>
            <w:vAlign w:val="bottom"/>
            <w:gridSpan w:val="11"/>
          </w:tcPr>
          <w:p>
            <w:pPr>
              <w:jc w:val="right"/>
              <w:ind w:right="880"/>
              <w:spacing w:after="0"/>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w w:val="83"/>
              </w:rPr>
              <w:t>Shares</w:t>
            </w:r>
          </w:p>
        </w:tc>
        <w:tc>
          <w:tcPr>
            <w:tcW w:w="20" w:type="dxa"/>
            <w:vAlign w:val="bottom"/>
            <w:tcBorders>
              <w:top w:val="single" w:sz="8" w:color="auto"/>
            </w:tcBorders>
          </w:tcPr>
          <w:p>
            <w:pPr>
              <w:spacing w:after="0"/>
              <w:rPr>
                <w:sz w:val="10"/>
                <w:szCs w:val="10"/>
                <w:color w:val="auto"/>
              </w:rPr>
            </w:pPr>
          </w:p>
        </w:tc>
        <w:tc>
          <w:tcPr>
            <w:tcW w:w="340" w:type="dxa"/>
            <w:vAlign w:val="bottom"/>
            <w:gridSpan w:val="3"/>
          </w:tcPr>
          <w:p>
            <w:pPr>
              <w:spacing w:after="0"/>
              <w:rPr>
                <w:sz w:val="20"/>
                <w:szCs w:val="20"/>
                <w:color w:val="auto"/>
              </w:rPr>
            </w:pPr>
            <w:r>
              <w:rPr>
                <w:rFonts w:ascii="Arial" w:cs="Arial" w:eastAsia="Arial" w:hAnsi="Arial"/>
                <w:sz w:val="10"/>
                <w:szCs w:val="10"/>
                <w:b w:val="1"/>
                <w:bCs w:val="1"/>
                <w:color w:val="auto"/>
                <w:w w:val="84"/>
              </w:rPr>
              <w:t>Amount</w:t>
            </w:r>
          </w:p>
        </w:tc>
        <w:tc>
          <w:tcPr>
            <w:tcW w:w="160" w:type="dxa"/>
            <w:vAlign w:val="bottom"/>
            <w:tcBorders>
              <w:top w:val="single" w:sz="8" w:color="auto"/>
            </w:tcBorders>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7"/>
          </w:tcPr>
          <w:p>
            <w:pPr>
              <w:jc w:val="right"/>
              <w:ind w:right="420"/>
              <w:spacing w:after="0"/>
              <w:rPr>
                <w:sz w:val="20"/>
                <w:szCs w:val="20"/>
                <w:color w:val="auto"/>
              </w:rPr>
            </w:pPr>
            <w:r>
              <w:rPr>
                <w:rFonts w:ascii="Arial" w:cs="Arial" w:eastAsia="Arial" w:hAnsi="Arial"/>
                <w:sz w:val="10"/>
                <w:szCs w:val="10"/>
                <w:b w:val="1"/>
                <w:bCs w:val="1"/>
                <w:color w:val="auto"/>
                <w:w w:val="77"/>
              </w:rPr>
              <w:t>Shares</w:t>
            </w:r>
          </w:p>
        </w:tc>
        <w:tc>
          <w:tcPr>
            <w:tcW w:w="20" w:type="dxa"/>
            <w:vAlign w:val="bottom"/>
            <w:tcBorders>
              <w:top w:val="single" w:sz="8" w:color="auto"/>
            </w:tcBorders>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Amount</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gridSpan w:val="2"/>
          </w:tcPr>
          <w:p>
            <w:pPr>
              <w:spacing w:after="0"/>
              <w:rPr>
                <w:sz w:val="10"/>
                <w:szCs w:val="10"/>
                <w:color w:val="auto"/>
              </w:rPr>
            </w:pPr>
          </w:p>
        </w:tc>
        <w:tc>
          <w:tcPr>
            <w:tcW w:w="50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0"/>
                <w:szCs w:val="10"/>
                <w:b w:val="1"/>
                <w:bCs w:val="1"/>
                <w:color w:val="auto"/>
                <w:w w:val="83"/>
              </w:rPr>
              <w:t>Shares</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gridSpan w:val="3"/>
          </w:tcPr>
          <w:p>
            <w:pPr>
              <w:spacing w:after="0"/>
              <w:rPr>
                <w:sz w:val="20"/>
                <w:szCs w:val="20"/>
                <w:color w:val="auto"/>
              </w:rPr>
            </w:pPr>
            <w:r>
              <w:rPr>
                <w:rFonts w:ascii="Arial" w:cs="Arial" w:eastAsia="Arial" w:hAnsi="Arial"/>
                <w:sz w:val="10"/>
                <w:szCs w:val="10"/>
                <w:b w:val="1"/>
                <w:bCs w:val="1"/>
                <w:color w:val="auto"/>
                <w:w w:val="84"/>
              </w:rPr>
              <w:t>Amount</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gridSpan w:val="2"/>
          </w:tcPr>
          <w:p>
            <w:pPr>
              <w:spacing w:after="0"/>
              <w:rPr>
                <w:sz w:val="10"/>
                <w:szCs w:val="10"/>
                <w:color w:val="auto"/>
              </w:rPr>
            </w:pP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3"/>
              </w:rPr>
              <w:t>Shares</w:t>
            </w: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gridSpan w:val="5"/>
          </w:tcPr>
          <w:p>
            <w:pPr>
              <w:spacing w:after="0"/>
              <w:rPr>
                <w:sz w:val="20"/>
                <w:szCs w:val="20"/>
                <w:color w:val="auto"/>
              </w:rPr>
            </w:pPr>
            <w:r>
              <w:rPr>
                <w:rFonts w:ascii="Arial" w:cs="Arial" w:eastAsia="Arial" w:hAnsi="Arial"/>
                <w:sz w:val="10"/>
                <w:szCs w:val="10"/>
                <w:b w:val="1"/>
                <w:bCs w:val="1"/>
                <w:color w:val="auto"/>
                <w:w w:val="89"/>
              </w:rPr>
              <w:t>Amount</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gridSpan w:val="2"/>
          </w:tcPr>
          <w:p>
            <w:pPr>
              <w:spacing w:after="0"/>
              <w:rPr>
                <w:sz w:val="10"/>
                <w:szCs w:val="10"/>
                <w:color w:val="auto"/>
              </w:rPr>
            </w:pPr>
          </w:p>
        </w:tc>
        <w:tc>
          <w:tcPr>
            <w:tcW w:w="560" w:type="dxa"/>
            <w:vAlign w:val="bottom"/>
            <w:tcBorders>
              <w:top w:val="single" w:sz="8" w:color="auto"/>
            </w:tcBorders>
            <w:gridSpan w:val="6"/>
          </w:tcPr>
          <w:p>
            <w:pPr>
              <w:jc w:val="right"/>
              <w:ind w:right="280"/>
              <w:spacing w:after="0"/>
              <w:rPr>
                <w:sz w:val="20"/>
                <w:szCs w:val="20"/>
                <w:color w:val="auto"/>
              </w:rPr>
            </w:pPr>
            <w:r>
              <w:rPr>
                <w:rFonts w:ascii="Arial" w:cs="Arial" w:eastAsia="Arial" w:hAnsi="Arial"/>
                <w:sz w:val="10"/>
                <w:szCs w:val="10"/>
                <w:b w:val="1"/>
                <w:bCs w:val="1"/>
                <w:color w:val="auto"/>
                <w:w w:val="77"/>
              </w:rPr>
              <w:t>Shares</w:t>
            </w:r>
          </w:p>
        </w:tc>
        <w:tc>
          <w:tcPr>
            <w:tcW w:w="160" w:type="dxa"/>
            <w:vAlign w:val="bottom"/>
            <w:tcBorders>
              <w:top w:val="single" w:sz="8" w:color="auto"/>
            </w:tcBorders>
          </w:tcPr>
          <w:p>
            <w:pPr>
              <w:spacing w:after="0"/>
              <w:rPr>
                <w:sz w:val="10"/>
                <w:szCs w:val="10"/>
                <w:color w:val="auto"/>
              </w:rPr>
            </w:pPr>
          </w:p>
        </w:tc>
        <w:tc>
          <w:tcPr>
            <w:tcW w:w="340" w:type="dxa"/>
            <w:vAlign w:val="bottom"/>
            <w:gridSpan w:val="3"/>
          </w:tcPr>
          <w:p>
            <w:pPr>
              <w:spacing w:after="0"/>
              <w:rPr>
                <w:sz w:val="20"/>
                <w:szCs w:val="20"/>
                <w:color w:val="auto"/>
              </w:rPr>
            </w:pPr>
            <w:r>
              <w:rPr>
                <w:rFonts w:ascii="Arial" w:cs="Arial" w:eastAsia="Arial" w:hAnsi="Arial"/>
                <w:sz w:val="10"/>
                <w:szCs w:val="10"/>
                <w:b w:val="1"/>
                <w:bCs w:val="1"/>
                <w:color w:val="auto"/>
                <w:w w:val="84"/>
              </w:rPr>
              <w:t>Amount</w:t>
            </w:r>
          </w:p>
        </w:tc>
        <w:tc>
          <w:tcPr>
            <w:tcW w:w="160" w:type="dxa"/>
            <w:vAlign w:val="bottom"/>
            <w:tcBorders>
              <w:top w:val="single" w:sz="8" w:color="auto"/>
            </w:tcBorders>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77"/>
              </w:rPr>
              <w:t>Shares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gridSpan w:val="4"/>
          </w:tcPr>
          <w:p>
            <w:pPr>
              <w:spacing w:after="0"/>
              <w:rPr>
                <w:sz w:val="20"/>
                <w:szCs w:val="20"/>
                <w:color w:val="auto"/>
              </w:rPr>
            </w:pPr>
            <w:r>
              <w:rPr>
                <w:rFonts w:ascii="Arial" w:cs="Arial" w:eastAsia="Arial" w:hAnsi="Arial"/>
                <w:sz w:val="10"/>
                <w:szCs w:val="10"/>
                <w:b w:val="1"/>
                <w:bCs w:val="1"/>
                <w:color w:val="auto"/>
                <w:w w:val="84"/>
              </w:rPr>
              <w:t>Amount</w:t>
            </w:r>
          </w:p>
        </w:tc>
        <w:tc>
          <w:tcPr>
            <w:tcW w:w="260" w:type="dxa"/>
            <w:vAlign w:val="bottom"/>
            <w:tcBorders>
              <w:top w:val="single" w:sz="8" w:color="auto"/>
            </w:tcBorders>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gridSpan w:val="3"/>
          </w:tcPr>
          <w:p>
            <w:pPr>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gridSpan w:val="4"/>
          </w:tcPr>
          <w:p>
            <w:pPr>
              <w:spacing w:after="0"/>
              <w:rPr>
                <w:sz w:val="20"/>
                <w:szCs w:val="20"/>
                <w:color w:val="auto"/>
              </w:rPr>
            </w:pPr>
            <w:r>
              <w:rPr>
                <w:rFonts w:ascii="Arial" w:cs="Arial" w:eastAsia="Arial" w:hAnsi="Arial"/>
                <w:sz w:val="10"/>
                <w:szCs w:val="10"/>
                <w:b w:val="1"/>
                <w:bCs w:val="1"/>
                <w:color w:val="auto"/>
                <w:w w:val="84"/>
              </w:rPr>
              <w:t>Deficit</w:t>
            </w:r>
          </w:p>
        </w:tc>
        <w:tc>
          <w:tcPr>
            <w:tcW w:w="520" w:type="dxa"/>
            <w:vAlign w:val="bottom"/>
            <w:tcBorders>
              <w:top w:val="single" w:sz="8" w:color="auto"/>
            </w:tcBorders>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gridSpan w:val="6"/>
          </w:tcPr>
          <w:p>
            <w:pPr>
              <w:jc w:val="right"/>
              <w:ind w:right="480"/>
              <w:spacing w:after="0"/>
              <w:rPr>
                <w:sz w:val="20"/>
                <w:szCs w:val="20"/>
                <w:color w:val="auto"/>
              </w:rPr>
            </w:pPr>
            <w:r>
              <w:rPr>
                <w:rFonts w:ascii="Arial" w:cs="Arial" w:eastAsia="Arial" w:hAnsi="Arial"/>
                <w:sz w:val="10"/>
                <w:szCs w:val="10"/>
                <w:b w:val="1"/>
                <w:bCs w:val="1"/>
                <w:color w:val="auto"/>
                <w:w w:val="84"/>
              </w:rPr>
              <w:t>Equity</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top w:val="single" w:sz="8" w:color="CCEEFF"/>
            </w:tcBorders>
            <w:gridSpan w:val="3"/>
            <w:shd w:val="clear" w:color="auto" w:fill="CCEEFF"/>
          </w:tcPr>
          <w:p>
            <w:pPr>
              <w:spacing w:after="0" w:line="85" w:lineRule="exact"/>
              <w:rPr>
                <w:sz w:val="20"/>
                <w:szCs w:val="20"/>
                <w:color w:val="auto"/>
              </w:rPr>
            </w:pPr>
            <w:r>
              <w:rPr>
                <w:rFonts w:ascii="Arial" w:cs="Arial" w:eastAsia="Arial" w:hAnsi="Arial"/>
                <w:sz w:val="9"/>
                <w:szCs w:val="9"/>
                <w:color w:val="auto"/>
              </w:rPr>
              <w:t>Balance at</w:t>
            </w:r>
          </w:p>
        </w:tc>
        <w:tc>
          <w:tcPr>
            <w:tcW w:w="3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CCEEFF"/>
            </w:tcBorders>
            <w:gridSpan w:val="3"/>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180" w:type="dxa"/>
            <w:vAlign w:val="bottom"/>
            <w:tcBorders>
              <w:top w:val="single" w:sz="8" w:color="CCEEFF"/>
            </w:tcBorders>
            <w:gridSpan w:val="3"/>
            <w:shd w:val="clear" w:color="auto" w:fill="CCEEFF"/>
          </w:tcPr>
          <w:p>
            <w:pPr>
              <w:spacing w:after="0"/>
              <w:rPr>
                <w:sz w:val="7"/>
                <w:szCs w:val="7"/>
                <w:color w:val="auto"/>
              </w:rPr>
            </w:pPr>
          </w:p>
        </w:tc>
        <w:tc>
          <w:tcPr>
            <w:tcW w:w="280" w:type="dxa"/>
            <w:vAlign w:val="bottom"/>
            <w:tcBorders>
              <w:top w:val="single" w:sz="8" w:color="auto"/>
            </w:tcBorders>
            <w:gridSpan w:val="4"/>
            <w:shd w:val="clear" w:color="auto" w:fill="CCEEFF"/>
          </w:tcPr>
          <w:p>
            <w:pPr>
              <w:spacing w:after="0"/>
              <w:rPr>
                <w:sz w:val="7"/>
                <w:szCs w:val="7"/>
                <w:color w:val="auto"/>
              </w:rPr>
            </w:pPr>
          </w:p>
        </w:tc>
        <w:tc>
          <w:tcPr>
            <w:tcW w:w="440" w:type="dxa"/>
            <w:vAlign w:val="bottom"/>
            <w:tcBorders>
              <w:top w:val="single" w:sz="8" w:color="CCEEFF"/>
            </w:tcBorders>
            <w:gridSpan w:val="4"/>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180" w:type="dxa"/>
            <w:vAlign w:val="bottom"/>
            <w:tcBorders>
              <w:top w:val="single" w:sz="8" w:color="CCEEFF"/>
            </w:tcBorders>
            <w:gridSpan w:val="3"/>
            <w:shd w:val="clear" w:color="auto" w:fill="CCEEFF"/>
          </w:tcPr>
          <w:p>
            <w:pPr>
              <w:spacing w:after="0"/>
              <w:rPr>
                <w:sz w:val="7"/>
                <w:szCs w:val="7"/>
                <w:color w:val="auto"/>
              </w:rPr>
            </w:pPr>
          </w:p>
        </w:tc>
        <w:tc>
          <w:tcPr>
            <w:tcW w:w="280" w:type="dxa"/>
            <w:vAlign w:val="bottom"/>
            <w:tcBorders>
              <w:top w:val="single" w:sz="8" w:color="auto"/>
            </w:tcBorders>
            <w:gridSpan w:val="3"/>
            <w:shd w:val="clear" w:color="auto" w:fill="CCEEFF"/>
          </w:tcPr>
          <w:p>
            <w:pPr>
              <w:spacing w:after="0"/>
              <w:rPr>
                <w:sz w:val="7"/>
                <w:szCs w:val="7"/>
                <w:color w:val="auto"/>
              </w:rPr>
            </w:pPr>
          </w:p>
        </w:tc>
        <w:tc>
          <w:tcPr>
            <w:tcW w:w="440" w:type="dxa"/>
            <w:vAlign w:val="bottom"/>
            <w:tcBorders>
              <w:top w:val="single" w:sz="8" w:color="CCEEFF"/>
            </w:tcBorders>
            <w:gridSpan w:val="4"/>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180" w:type="dxa"/>
            <w:vAlign w:val="bottom"/>
            <w:tcBorders>
              <w:top w:val="single" w:sz="8" w:color="CCEEFF"/>
            </w:tcBorders>
            <w:gridSpan w:val="3"/>
            <w:shd w:val="clear" w:color="auto" w:fill="CCEEFF"/>
          </w:tcPr>
          <w:p>
            <w:pPr>
              <w:spacing w:after="0"/>
              <w:rPr>
                <w:sz w:val="7"/>
                <w:szCs w:val="7"/>
                <w:color w:val="auto"/>
              </w:rPr>
            </w:pPr>
          </w:p>
        </w:tc>
        <w:tc>
          <w:tcPr>
            <w:tcW w:w="30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420" w:type="dxa"/>
            <w:vAlign w:val="bottom"/>
            <w:tcBorders>
              <w:top w:val="single" w:sz="8" w:color="CCEEFF"/>
            </w:tcBorders>
            <w:gridSpan w:val="2"/>
            <w:shd w:val="clear" w:color="auto" w:fill="CCEEFF"/>
          </w:tcPr>
          <w:p>
            <w:pPr>
              <w:spacing w:after="0"/>
              <w:rPr>
                <w:sz w:val="7"/>
                <w:szCs w:val="7"/>
                <w:color w:val="auto"/>
              </w:rPr>
            </w:pPr>
          </w:p>
        </w:tc>
        <w:tc>
          <w:tcPr>
            <w:tcW w:w="360" w:type="dxa"/>
            <w:vAlign w:val="bottom"/>
            <w:tcBorders>
              <w:top w:val="single" w:sz="8" w:color="auto"/>
            </w:tcBorders>
            <w:gridSpan w:val="5"/>
            <w:shd w:val="clear" w:color="auto" w:fill="CCEEFF"/>
          </w:tcPr>
          <w:p>
            <w:pPr>
              <w:spacing w:after="0"/>
              <w:rPr>
                <w:sz w:val="7"/>
                <w:szCs w:val="7"/>
                <w:color w:val="auto"/>
              </w:rPr>
            </w:pPr>
          </w:p>
        </w:tc>
        <w:tc>
          <w:tcPr>
            <w:tcW w:w="180" w:type="dxa"/>
            <w:vAlign w:val="bottom"/>
            <w:tcBorders>
              <w:top w:val="single" w:sz="8" w:color="CCEEFF"/>
            </w:tcBorders>
            <w:gridSpan w:val="3"/>
            <w:shd w:val="clear" w:color="auto" w:fill="CCEEFF"/>
          </w:tcPr>
          <w:p>
            <w:pPr>
              <w:spacing w:after="0"/>
              <w:rPr>
                <w:sz w:val="7"/>
                <w:szCs w:val="7"/>
                <w:color w:val="auto"/>
              </w:rPr>
            </w:pPr>
          </w:p>
        </w:tc>
        <w:tc>
          <w:tcPr>
            <w:tcW w:w="280" w:type="dxa"/>
            <w:vAlign w:val="bottom"/>
            <w:tcBorders>
              <w:top w:val="single" w:sz="8" w:color="auto"/>
            </w:tcBorders>
            <w:gridSpan w:val="4"/>
            <w:shd w:val="clear" w:color="auto" w:fill="CCEEFF"/>
          </w:tcPr>
          <w:p>
            <w:pPr>
              <w:spacing w:after="0"/>
              <w:rPr>
                <w:sz w:val="7"/>
                <w:szCs w:val="7"/>
                <w:color w:val="auto"/>
              </w:rPr>
            </w:pPr>
          </w:p>
        </w:tc>
        <w:tc>
          <w:tcPr>
            <w:tcW w:w="440" w:type="dxa"/>
            <w:vAlign w:val="bottom"/>
            <w:tcBorders>
              <w:top w:val="single" w:sz="8" w:color="CCEEFF"/>
              <w:right w:val="single" w:sz="8" w:color="CCEEFF"/>
            </w:tcBorders>
            <w:gridSpan w:val="3"/>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180" w:type="dxa"/>
            <w:vAlign w:val="bottom"/>
            <w:tcBorders>
              <w:top w:val="single" w:sz="8" w:color="CCEEFF"/>
            </w:tcBorders>
            <w:gridSpan w:val="3"/>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480" w:type="dxa"/>
            <w:vAlign w:val="bottom"/>
            <w:tcBorders>
              <w:top w:val="single" w:sz="8" w:color="CCEEFF"/>
            </w:tcBorders>
            <w:gridSpan w:val="6"/>
            <w:shd w:val="clear" w:color="auto" w:fill="CCEEFF"/>
          </w:tcPr>
          <w:p>
            <w:pPr>
              <w:spacing w:after="0"/>
              <w:rPr>
                <w:sz w:val="7"/>
                <w:szCs w:val="7"/>
                <w:color w:val="auto"/>
              </w:rPr>
            </w:pPr>
          </w:p>
        </w:tc>
        <w:tc>
          <w:tcPr>
            <w:tcW w:w="340" w:type="dxa"/>
            <w:vAlign w:val="bottom"/>
            <w:tcBorders>
              <w:top w:val="single" w:sz="8" w:color="auto"/>
            </w:tcBorders>
            <w:gridSpan w:val="4"/>
            <w:shd w:val="clear" w:color="auto" w:fill="CCEEFF"/>
          </w:tcPr>
          <w:p>
            <w:pPr>
              <w:spacing w:after="0"/>
              <w:rPr>
                <w:sz w:val="7"/>
                <w:szCs w:val="7"/>
                <w:color w:val="auto"/>
              </w:rPr>
            </w:pPr>
          </w:p>
        </w:tc>
        <w:tc>
          <w:tcPr>
            <w:tcW w:w="440" w:type="dxa"/>
            <w:vAlign w:val="bottom"/>
            <w:tcBorders>
              <w:top w:val="single" w:sz="8" w:color="CCEEFF"/>
            </w:tcBorders>
            <w:gridSpan w:val="5"/>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700" w:type="dxa"/>
            <w:vAlign w:val="bottom"/>
            <w:tcBorders>
              <w:top w:val="single" w:sz="8" w:color="CCEEFF"/>
            </w:tcBorders>
            <w:gridSpan w:val="5"/>
            <w:shd w:val="clear" w:color="auto" w:fill="CCEEFF"/>
          </w:tcPr>
          <w:p>
            <w:pPr>
              <w:spacing w:after="0"/>
              <w:rPr>
                <w:sz w:val="7"/>
                <w:szCs w:val="7"/>
                <w:color w:val="auto"/>
              </w:rPr>
            </w:pPr>
          </w:p>
        </w:tc>
        <w:tc>
          <w:tcPr>
            <w:tcW w:w="280" w:type="dxa"/>
            <w:vAlign w:val="bottom"/>
            <w:tcBorders>
              <w:top w:val="single" w:sz="8" w:color="auto"/>
            </w:tcBorders>
            <w:gridSpan w:val="4"/>
            <w:shd w:val="clear" w:color="auto" w:fill="CCEEFF"/>
          </w:tcPr>
          <w:p>
            <w:pPr>
              <w:spacing w:after="0"/>
              <w:rPr>
                <w:sz w:val="7"/>
                <w:szCs w:val="7"/>
                <w:color w:val="auto"/>
              </w:rPr>
            </w:pPr>
          </w:p>
        </w:tc>
        <w:tc>
          <w:tcPr>
            <w:tcW w:w="780" w:type="dxa"/>
            <w:vAlign w:val="bottom"/>
            <w:tcBorders>
              <w:top w:val="single" w:sz="8" w:color="CCEEFF"/>
            </w:tcBorders>
            <w:gridSpan w:val="5"/>
            <w:shd w:val="clear" w:color="auto" w:fill="CCEEFF"/>
          </w:tcPr>
          <w:p>
            <w:pPr>
              <w:spacing w:after="0"/>
              <w:rPr>
                <w:sz w:val="7"/>
                <w:szCs w:val="7"/>
                <w:color w:val="auto"/>
              </w:rPr>
            </w:pPr>
          </w:p>
        </w:tc>
        <w:tc>
          <w:tcPr>
            <w:tcW w:w="280" w:type="dxa"/>
            <w:vAlign w:val="bottom"/>
            <w:tcBorders>
              <w:top w:val="single" w:sz="8" w:color="auto"/>
            </w:tcBorders>
            <w:gridSpan w:val="3"/>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left w:val="single" w:sz="8" w:color="CCEEFF"/>
            </w:tcBorders>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60" w:type="dxa"/>
            <w:vAlign w:val="bottom"/>
            <w:tcBorders>
              <w:right w:val="single" w:sz="8" w:color="CCEEFF"/>
            </w:tcBorders>
            <w:gridSpan w:val="43"/>
          </w:tcPr>
          <w:p>
            <w:pPr>
              <w:spacing w:after="0"/>
              <w:rPr>
                <w:sz w:val="20"/>
                <w:szCs w:val="20"/>
                <w:color w:val="auto"/>
              </w:rPr>
            </w:pPr>
            <w:r>
              <w:rPr>
                <w:rFonts w:ascii="Arial" w:cs="Arial" w:eastAsia="Arial" w:hAnsi="Arial"/>
                <w:sz w:val="10"/>
                <w:szCs w:val="10"/>
                <w:color w:val="auto"/>
              </w:rPr>
              <w:t>December</w:t>
            </w:r>
          </w:p>
        </w:tc>
        <w:tc>
          <w:tcPr>
            <w:tcW w:w="1680" w:type="dxa"/>
            <w:vAlign w:val="bottom"/>
            <w:tcBorders>
              <w:right w:val="single" w:sz="8" w:color="CCEEFF"/>
            </w:tcBorders>
            <w:gridSpan w:val="17"/>
            <w:shd w:val="clear" w:color="auto" w:fill="CCEEFF"/>
          </w:tcPr>
          <w:p>
            <w:pPr>
              <w:spacing w:after="0"/>
              <w:rPr>
                <w:sz w:val="9"/>
                <w:szCs w:val="9"/>
                <w:color w:val="auto"/>
              </w:rPr>
            </w:pPr>
          </w:p>
        </w:tc>
        <w:tc>
          <w:tcPr>
            <w:tcW w:w="4780" w:type="dxa"/>
            <w:vAlign w:val="bottom"/>
            <w:gridSpan w:val="44"/>
            <w:shd w:val="clear" w:color="auto" w:fill="CCEEFF"/>
          </w:tcPr>
          <w:p>
            <w:pPr>
              <w:spacing w:after="0"/>
              <w:rPr>
                <w:sz w:val="9"/>
                <w:szCs w:val="9"/>
                <w:color w:val="auto"/>
              </w:rPr>
            </w:pPr>
          </w:p>
        </w:tc>
        <w:tc>
          <w:tcPr>
            <w:tcW w:w="140" w:type="dxa"/>
            <w:vAlign w:val="bottom"/>
            <w:tcBorders>
              <w:left w:val="single" w:sz="8" w:color="CCEEFF"/>
            </w:tcBorders>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0"/>
                <w:szCs w:val="10"/>
                <w:color w:val="auto"/>
              </w:rPr>
              <w:t>31, 2020</w:t>
            </w:r>
          </w:p>
        </w:tc>
        <w:tc>
          <w:tcPr>
            <w:tcW w:w="20" w:type="dxa"/>
            <w:vAlign w:val="bottom"/>
            <w:shd w:val="clear" w:color="auto" w:fill="CCEEFF"/>
          </w:tcPr>
          <w:p>
            <w:pPr>
              <w:spacing w:after="0"/>
              <w:rPr>
                <w:sz w:val="10"/>
                <w:szCs w:val="1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6,615,000</w:t>
            </w:r>
          </w:p>
        </w:tc>
        <w:tc>
          <w:tcPr>
            <w:tcW w:w="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662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2,525,800</w:t>
            </w:r>
          </w:p>
        </w:tc>
        <w:tc>
          <w:tcPr>
            <w:tcW w:w="2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83"/>
              </w:rPr>
              <w:t>253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0"/>
                <w:szCs w:val="10"/>
                <w:color w:val="auto"/>
              </w:rPr>
              <w:t>4,039,963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83"/>
              </w:rPr>
              <w:t>404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5"/>
              </w:rPr>
              <w:t>3,333,333</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333</w:t>
            </w:r>
          </w:p>
        </w:tc>
        <w:tc>
          <w:tcPr>
            <w:tcW w:w="72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0"/>
                <w:szCs w:val="10"/>
                <w:color w:val="auto"/>
              </w:rPr>
              <w:t>4,090,540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409</w:t>
            </w:r>
          </w:p>
        </w:tc>
        <w:tc>
          <w:tcPr>
            <w:tcW w:w="760" w:type="dxa"/>
            <w:vAlign w:val="bottom"/>
            <w:gridSpan w:val="8"/>
            <w:shd w:val="clear" w:color="auto" w:fill="CCEEFF"/>
          </w:tcPr>
          <w:p>
            <w:pPr>
              <w:jc w:val="right"/>
              <w:ind w:right="20"/>
              <w:spacing w:after="0"/>
              <w:rPr>
                <w:sz w:val="20"/>
                <w:szCs w:val="20"/>
                <w:color w:val="auto"/>
              </w:rPr>
            </w:pPr>
            <w:r>
              <w:rPr>
                <w:rFonts w:ascii="Arial" w:cs="Arial" w:eastAsia="Arial" w:hAnsi="Arial"/>
                <w:sz w:val="10"/>
                <w:szCs w:val="10"/>
                <w:color w:val="auto"/>
              </w:rPr>
              <w:t>35,216,000</w:t>
            </w:r>
          </w:p>
        </w:tc>
        <w:tc>
          <w:tcPr>
            <w:tcW w:w="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3,522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w w:val="83"/>
              </w:rPr>
              <w:t>50,986,672</w:t>
            </w:r>
          </w:p>
        </w:tc>
        <w:tc>
          <w:tcPr>
            <w:tcW w:w="60" w:type="dxa"/>
            <w:vAlign w:val="bottom"/>
            <w:shd w:val="clear" w:color="auto" w:fill="CCEEFF"/>
          </w:tcPr>
          <w:p>
            <w:pPr>
              <w:spacing w:after="0"/>
              <w:rPr>
                <w:sz w:val="10"/>
                <w:szCs w:val="10"/>
                <w:color w:val="auto"/>
              </w:rPr>
            </w:pP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70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w w:val="95"/>
              </w:rPr>
              <w:t>(11,984,420)</w:t>
            </w:r>
          </w:p>
        </w:tc>
        <w:tc>
          <w:tcPr>
            <w:tcW w:w="60" w:type="dxa"/>
            <w:vAlign w:val="bottom"/>
            <w:shd w:val="clear" w:color="auto" w:fill="CCEEFF"/>
          </w:tcPr>
          <w:p>
            <w:pPr>
              <w:spacing w:after="0"/>
              <w:rPr>
                <w:sz w:val="10"/>
                <w:szCs w:val="10"/>
                <w:color w:val="auto"/>
              </w:rPr>
            </w:pPr>
          </w:p>
        </w:tc>
        <w:tc>
          <w:tcPr>
            <w:tcW w:w="240" w:type="dxa"/>
            <w:vAlign w:val="bottom"/>
            <w:gridSpan w:val="3"/>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39,007,835</w:t>
            </w:r>
          </w:p>
        </w:tc>
        <w:tc>
          <w:tcPr>
            <w:tcW w:w="0" w:type="dxa"/>
            <w:vAlign w:val="bottom"/>
          </w:tcPr>
          <w:p>
            <w:pPr>
              <w:spacing w:after="0"/>
              <w:rPr>
                <w:sz w:val="1"/>
                <w:szCs w:val="1"/>
                <w:color w:val="auto"/>
              </w:rPr>
            </w:pPr>
          </w:p>
        </w:tc>
      </w:tr>
      <w:tr>
        <w:trPr>
          <w:trHeight w:val="96"/>
        </w:trPr>
        <w:tc>
          <w:tcPr>
            <w:tcW w:w="11360" w:type="dxa"/>
            <w:vAlign w:val="bottom"/>
            <w:gridSpan w:val="106"/>
          </w:tcPr>
          <w:p>
            <w:pPr>
              <w:spacing w:after="0"/>
              <w:rPr>
                <w:sz w:val="20"/>
                <w:szCs w:val="20"/>
                <w:color w:val="auto"/>
              </w:rPr>
            </w:pPr>
            <w:r>
              <w:rPr>
                <w:rFonts w:ascii="Arial" w:cs="Arial" w:eastAsia="Arial" w:hAnsi="Arial"/>
                <w:sz w:val="10"/>
                <w:szCs w:val="10"/>
                <w:color w:val="auto"/>
              </w:rPr>
              <w:t>Stock-based</w:t>
            </w:r>
          </w:p>
        </w:tc>
        <w:tc>
          <w:tcPr>
            <w:tcW w:w="0" w:type="dxa"/>
            <w:vAlign w:val="bottom"/>
          </w:tcPr>
          <w:p>
            <w:pPr>
              <w:spacing w:after="0"/>
              <w:rPr>
                <w:sz w:val="1"/>
                <w:szCs w:val="1"/>
                <w:color w:val="auto"/>
              </w:rPr>
            </w:pPr>
          </w:p>
        </w:tc>
      </w:tr>
      <w:tr>
        <w:trPr>
          <w:trHeight w:val="119"/>
        </w:trPr>
        <w:tc>
          <w:tcPr>
            <w:tcW w:w="680" w:type="dxa"/>
            <w:vAlign w:val="bottom"/>
            <w:gridSpan w:val="3"/>
          </w:tcPr>
          <w:p>
            <w:pPr>
              <w:spacing w:after="0"/>
              <w:rPr>
                <w:sz w:val="20"/>
                <w:szCs w:val="20"/>
                <w:color w:val="auto"/>
              </w:rPr>
            </w:pPr>
            <w:r>
              <w:rPr>
                <w:rFonts w:ascii="Arial" w:cs="Arial" w:eastAsia="Arial" w:hAnsi="Arial"/>
                <w:sz w:val="10"/>
                <w:szCs w:val="10"/>
                <w:color w:val="auto"/>
              </w:rPr>
              <w:t>compensation</w:t>
            </w:r>
          </w:p>
        </w:tc>
        <w:tc>
          <w:tcPr>
            <w:tcW w:w="1000" w:type="dxa"/>
            <w:vAlign w:val="bottom"/>
            <w:gridSpan w:val="7"/>
          </w:tcPr>
          <w:p>
            <w:pPr>
              <w:jc w:val="right"/>
              <w:ind w:right="260"/>
              <w:spacing w:after="0"/>
              <w:rPr>
                <w:sz w:val="20"/>
                <w:szCs w:val="20"/>
                <w:color w:val="auto"/>
              </w:rPr>
            </w:pPr>
            <w:r>
              <w:rPr>
                <w:rFonts w:ascii="Arial" w:cs="Arial" w:eastAsia="Arial" w:hAnsi="Arial"/>
                <w:sz w:val="10"/>
                <w:szCs w:val="10"/>
                <w:color w:val="auto"/>
              </w:rPr>
              <w:t>-</w:t>
            </w:r>
          </w:p>
        </w:tc>
        <w:tc>
          <w:tcPr>
            <w:tcW w:w="460" w:type="dxa"/>
            <w:vAlign w:val="bottom"/>
            <w:gridSpan w:val="7"/>
          </w:tcPr>
          <w:p>
            <w:pPr>
              <w:jc w:val="right"/>
              <w:ind w:right="200"/>
              <w:spacing w:after="0"/>
              <w:rPr>
                <w:sz w:val="20"/>
                <w:szCs w:val="20"/>
                <w:color w:val="auto"/>
              </w:rPr>
            </w:pPr>
            <w:r>
              <w:rPr>
                <w:rFonts w:ascii="Arial" w:cs="Arial" w:eastAsia="Arial" w:hAnsi="Arial"/>
                <w:sz w:val="10"/>
                <w:szCs w:val="10"/>
                <w:color w:val="auto"/>
              </w:rPr>
              <w:t>-</w:t>
            </w:r>
          </w:p>
        </w:tc>
        <w:tc>
          <w:tcPr>
            <w:tcW w:w="900" w:type="dxa"/>
            <w:vAlign w:val="bottom"/>
            <w:gridSpan w:val="7"/>
          </w:tcPr>
          <w:p>
            <w:pPr>
              <w:jc w:val="right"/>
              <w:ind w:right="380"/>
              <w:spacing w:after="0"/>
              <w:rPr>
                <w:sz w:val="20"/>
                <w:szCs w:val="20"/>
                <w:color w:val="auto"/>
              </w:rPr>
            </w:pPr>
            <w:r>
              <w:rPr>
                <w:rFonts w:ascii="Arial" w:cs="Arial" w:eastAsia="Arial" w:hAnsi="Arial"/>
                <w:sz w:val="10"/>
                <w:szCs w:val="10"/>
                <w:color w:val="auto"/>
              </w:rPr>
              <w:t>-</w:t>
            </w:r>
          </w:p>
        </w:tc>
        <w:tc>
          <w:tcPr>
            <w:tcW w:w="1240" w:type="dxa"/>
            <w:vAlign w:val="bottom"/>
            <w:gridSpan w:val="13"/>
          </w:tcPr>
          <w:p>
            <w:pPr>
              <w:jc w:val="right"/>
              <w:ind w:right="1080"/>
              <w:spacing w:after="0"/>
              <w:rPr>
                <w:sz w:val="20"/>
                <w:szCs w:val="20"/>
                <w:color w:val="auto"/>
              </w:rPr>
            </w:pPr>
            <w:r>
              <w:rPr>
                <w:rFonts w:ascii="Arial" w:cs="Arial" w:eastAsia="Arial" w:hAnsi="Arial"/>
                <w:sz w:val="10"/>
                <w:szCs w:val="10"/>
                <w:color w:val="auto"/>
              </w:rPr>
              <w:t>-</w:t>
            </w:r>
          </w:p>
        </w:tc>
        <w:tc>
          <w:tcPr>
            <w:tcW w:w="480" w:type="dxa"/>
            <w:vAlign w:val="bottom"/>
            <w:gridSpan w:val="6"/>
          </w:tcPr>
          <w:p>
            <w:pPr>
              <w:jc w:val="right"/>
              <w:ind w:right="320"/>
              <w:spacing w:after="0"/>
              <w:rPr>
                <w:sz w:val="20"/>
                <w:szCs w:val="20"/>
                <w:color w:val="auto"/>
              </w:rPr>
            </w:pPr>
            <w:r>
              <w:rPr>
                <w:rFonts w:ascii="Arial" w:cs="Arial" w:eastAsia="Arial" w:hAnsi="Arial"/>
                <w:sz w:val="10"/>
                <w:szCs w:val="10"/>
                <w:color w:val="auto"/>
              </w:rPr>
              <w:t>-</w:t>
            </w:r>
          </w:p>
        </w:tc>
        <w:tc>
          <w:tcPr>
            <w:tcW w:w="700" w:type="dxa"/>
            <w:vAlign w:val="bottom"/>
            <w:gridSpan w:val="6"/>
          </w:tcPr>
          <w:p>
            <w:pPr>
              <w:jc w:val="right"/>
              <w:ind w:right="300"/>
              <w:spacing w:after="0"/>
              <w:rPr>
                <w:sz w:val="20"/>
                <w:szCs w:val="20"/>
                <w:color w:val="auto"/>
              </w:rPr>
            </w:pPr>
            <w:r>
              <w:rPr>
                <w:rFonts w:ascii="Arial" w:cs="Arial" w:eastAsia="Arial" w:hAnsi="Arial"/>
                <w:sz w:val="10"/>
                <w:szCs w:val="10"/>
                <w:color w:val="auto"/>
              </w:rPr>
              <w:t>-</w:t>
            </w:r>
          </w:p>
        </w:tc>
        <w:tc>
          <w:tcPr>
            <w:tcW w:w="820" w:type="dxa"/>
            <w:vAlign w:val="bottom"/>
            <w:gridSpan w:val="10"/>
          </w:tcPr>
          <w:p>
            <w:pPr>
              <w:jc w:val="right"/>
              <w:ind w:right="600"/>
              <w:spacing w:after="0"/>
              <w:rPr>
                <w:sz w:val="20"/>
                <w:szCs w:val="20"/>
                <w:color w:val="auto"/>
              </w:rPr>
            </w:pPr>
            <w:r>
              <w:rPr>
                <w:rFonts w:ascii="Arial" w:cs="Arial" w:eastAsia="Arial" w:hAnsi="Arial"/>
                <w:sz w:val="10"/>
                <w:szCs w:val="10"/>
                <w:color w:val="auto"/>
              </w:rPr>
              <w:t>--</w:t>
            </w:r>
          </w:p>
        </w:tc>
        <w:tc>
          <w:tcPr>
            <w:tcW w:w="500" w:type="dxa"/>
            <w:vAlign w:val="bottom"/>
            <w:gridSpan w:val="4"/>
          </w:tcPr>
          <w:p>
            <w:pPr>
              <w:jc w:val="right"/>
              <w:ind w:right="380"/>
              <w:spacing w:after="0"/>
              <w:rPr>
                <w:sz w:val="20"/>
                <w:szCs w:val="20"/>
                <w:color w:val="auto"/>
              </w:rPr>
            </w:pPr>
            <w:r>
              <w:rPr>
                <w:rFonts w:ascii="Arial" w:cs="Arial" w:eastAsia="Arial" w:hAnsi="Arial"/>
                <w:sz w:val="10"/>
                <w:szCs w:val="10"/>
                <w:color w:val="auto"/>
              </w:rPr>
              <w:t>-</w:t>
            </w:r>
          </w:p>
        </w:tc>
        <w:tc>
          <w:tcPr>
            <w:tcW w:w="700" w:type="dxa"/>
            <w:vAlign w:val="bottom"/>
            <w:gridSpan w:val="8"/>
          </w:tcPr>
          <w:p>
            <w:pPr>
              <w:jc w:val="right"/>
              <w:ind w:right="560"/>
              <w:spacing w:after="0"/>
              <w:rPr>
                <w:sz w:val="20"/>
                <w:szCs w:val="20"/>
                <w:color w:val="auto"/>
              </w:rPr>
            </w:pPr>
            <w:r>
              <w:rPr>
                <w:rFonts w:ascii="Arial" w:cs="Arial" w:eastAsia="Arial" w:hAnsi="Arial"/>
                <w:sz w:val="10"/>
                <w:szCs w:val="10"/>
                <w:color w:val="auto"/>
              </w:rPr>
              <w:t>-</w:t>
            </w:r>
          </w:p>
        </w:tc>
        <w:tc>
          <w:tcPr>
            <w:tcW w:w="480" w:type="dxa"/>
            <w:vAlign w:val="bottom"/>
            <w:gridSpan w:val="6"/>
          </w:tcPr>
          <w:p>
            <w:pPr>
              <w:jc w:val="right"/>
              <w:ind w:right="230"/>
              <w:spacing w:after="0"/>
              <w:rPr>
                <w:sz w:val="20"/>
                <w:szCs w:val="20"/>
                <w:color w:val="auto"/>
              </w:rPr>
            </w:pPr>
            <w:r>
              <w:rPr>
                <w:rFonts w:ascii="Arial" w:cs="Arial" w:eastAsia="Arial" w:hAnsi="Arial"/>
                <w:sz w:val="10"/>
                <w:szCs w:val="10"/>
                <w:color w:val="auto"/>
              </w:rPr>
              <w:t>-</w:t>
            </w:r>
          </w:p>
        </w:tc>
        <w:tc>
          <w:tcPr>
            <w:tcW w:w="880" w:type="dxa"/>
            <w:vAlign w:val="bottom"/>
            <w:gridSpan w:val="9"/>
          </w:tcPr>
          <w:p>
            <w:pPr>
              <w:jc w:val="right"/>
              <w:ind w:right="560"/>
              <w:spacing w:after="0"/>
              <w:rPr>
                <w:sz w:val="20"/>
                <w:szCs w:val="20"/>
                <w:color w:val="auto"/>
              </w:rPr>
            </w:pPr>
            <w:r>
              <w:rPr>
                <w:rFonts w:ascii="Arial" w:cs="Arial" w:eastAsia="Arial" w:hAnsi="Arial"/>
                <w:sz w:val="10"/>
                <w:szCs w:val="10"/>
                <w:color w:val="auto"/>
              </w:rPr>
              <w:t>-</w:t>
            </w:r>
          </w:p>
        </w:tc>
        <w:tc>
          <w:tcPr>
            <w:tcW w:w="940" w:type="dxa"/>
            <w:vAlign w:val="bottom"/>
            <w:gridSpan w:val="8"/>
          </w:tcPr>
          <w:p>
            <w:pPr>
              <w:jc w:val="right"/>
              <w:ind w:right="500"/>
              <w:spacing w:after="0"/>
              <w:rPr>
                <w:sz w:val="20"/>
                <w:szCs w:val="20"/>
                <w:color w:val="auto"/>
              </w:rPr>
            </w:pPr>
            <w:r>
              <w:rPr>
                <w:rFonts w:ascii="Arial" w:cs="Arial" w:eastAsia="Arial" w:hAnsi="Arial"/>
                <w:sz w:val="10"/>
                <w:szCs w:val="10"/>
                <w:color w:val="auto"/>
                <w:w w:val="94"/>
              </w:rPr>
              <w:t>1,663,210</w:t>
            </w:r>
          </w:p>
        </w:tc>
        <w:tc>
          <w:tcPr>
            <w:tcW w:w="1000" w:type="dxa"/>
            <w:vAlign w:val="bottom"/>
            <w:gridSpan w:val="8"/>
          </w:tcPr>
          <w:p>
            <w:pPr>
              <w:jc w:val="right"/>
              <w:ind w:right="410"/>
              <w:spacing w:after="0"/>
              <w:rPr>
                <w:sz w:val="20"/>
                <w:szCs w:val="20"/>
                <w:color w:val="auto"/>
              </w:rPr>
            </w:pPr>
            <w:r>
              <w:rPr>
                <w:rFonts w:ascii="Arial" w:cs="Arial" w:eastAsia="Arial" w:hAnsi="Arial"/>
                <w:sz w:val="10"/>
                <w:szCs w:val="10"/>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0"/>
                <w:szCs w:val="10"/>
                <w:color w:val="auto"/>
              </w:rPr>
              <w:t>1,663,210</w:t>
            </w:r>
          </w:p>
        </w:tc>
        <w:tc>
          <w:tcPr>
            <w:tcW w:w="0" w:type="dxa"/>
            <w:vAlign w:val="bottom"/>
          </w:tcPr>
          <w:p>
            <w:pPr>
              <w:spacing w:after="0"/>
              <w:rPr>
                <w:sz w:val="1"/>
                <w:szCs w:val="1"/>
                <w:color w:val="auto"/>
              </w:rPr>
            </w:pPr>
          </w:p>
        </w:tc>
      </w:tr>
      <w:tr>
        <w:trPr>
          <w:trHeight w:val="127"/>
        </w:trPr>
        <w:tc>
          <w:tcPr>
            <w:tcW w:w="680" w:type="dxa"/>
            <w:vAlign w:val="bottom"/>
            <w:gridSpan w:val="3"/>
          </w:tcPr>
          <w:p>
            <w:pPr>
              <w:spacing w:after="0"/>
              <w:rPr>
                <w:sz w:val="20"/>
                <w:szCs w:val="20"/>
                <w:color w:val="auto"/>
              </w:rPr>
            </w:pPr>
            <w:r>
              <w:rPr>
                <w:rFonts w:ascii="Arial" w:cs="Arial" w:eastAsia="Arial" w:hAnsi="Arial"/>
                <w:sz w:val="10"/>
                <w:szCs w:val="10"/>
                <w:color w:val="auto"/>
              </w:rPr>
              <w:t>Net loss</w:t>
            </w:r>
          </w:p>
        </w:tc>
        <w:tc>
          <w:tcPr>
            <w:tcW w:w="1000" w:type="dxa"/>
            <w:vAlign w:val="bottom"/>
            <w:gridSpan w:val="7"/>
            <w:shd w:val="clear" w:color="auto" w:fill="CCEEFF"/>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460" w:type="dxa"/>
            <w:vAlign w:val="bottom"/>
            <w:gridSpan w:val="7"/>
            <w:shd w:val="clear" w:color="auto" w:fill="CCEEFF"/>
          </w:tcPr>
          <w:p>
            <w:pPr>
              <w:jc w:val="right"/>
              <w:ind w:right="200"/>
              <w:spacing w:after="0" w:line="107" w:lineRule="exact"/>
              <w:rPr>
                <w:sz w:val="20"/>
                <w:szCs w:val="20"/>
                <w:color w:val="auto"/>
              </w:rPr>
            </w:pPr>
            <w:r>
              <w:rPr>
                <w:rFonts w:ascii="Arial" w:cs="Arial" w:eastAsia="Arial" w:hAnsi="Arial"/>
                <w:sz w:val="10"/>
                <w:szCs w:val="10"/>
                <w:color w:val="auto"/>
              </w:rPr>
              <w:t>-</w:t>
            </w:r>
          </w:p>
        </w:tc>
        <w:tc>
          <w:tcPr>
            <w:tcW w:w="900" w:type="dxa"/>
            <w:vAlign w:val="bottom"/>
            <w:gridSpan w:val="7"/>
            <w:shd w:val="clear" w:color="auto" w:fill="CCEEFF"/>
          </w:tcPr>
          <w:p>
            <w:pPr>
              <w:jc w:val="right"/>
              <w:ind w:right="380"/>
              <w:spacing w:after="0" w:line="107" w:lineRule="exact"/>
              <w:rPr>
                <w:sz w:val="20"/>
                <w:szCs w:val="20"/>
                <w:color w:val="auto"/>
              </w:rPr>
            </w:pPr>
            <w:r>
              <w:rPr>
                <w:rFonts w:ascii="Arial" w:cs="Arial" w:eastAsia="Arial" w:hAnsi="Arial"/>
                <w:sz w:val="10"/>
                <w:szCs w:val="10"/>
                <w:color w:val="auto"/>
              </w:rPr>
              <w:t>-</w:t>
            </w:r>
          </w:p>
        </w:tc>
        <w:tc>
          <w:tcPr>
            <w:tcW w:w="1240" w:type="dxa"/>
            <w:vAlign w:val="bottom"/>
            <w:gridSpan w:val="13"/>
            <w:shd w:val="clear" w:color="auto" w:fill="CCEEFF"/>
          </w:tcPr>
          <w:p>
            <w:pPr>
              <w:jc w:val="right"/>
              <w:ind w:right="1080"/>
              <w:spacing w:after="0" w:line="107" w:lineRule="exact"/>
              <w:rPr>
                <w:sz w:val="20"/>
                <w:szCs w:val="20"/>
                <w:color w:val="auto"/>
              </w:rPr>
            </w:pPr>
            <w:r>
              <w:rPr>
                <w:rFonts w:ascii="Arial" w:cs="Arial" w:eastAsia="Arial" w:hAnsi="Arial"/>
                <w:sz w:val="10"/>
                <w:szCs w:val="10"/>
                <w:color w:val="auto"/>
              </w:rPr>
              <w:t>-</w:t>
            </w:r>
          </w:p>
        </w:tc>
        <w:tc>
          <w:tcPr>
            <w:tcW w:w="480" w:type="dxa"/>
            <w:vAlign w:val="bottom"/>
            <w:tcBorders>
              <w:right w:val="single" w:sz="8" w:color="CCEEFF"/>
            </w:tcBorders>
            <w:gridSpan w:val="6"/>
            <w:shd w:val="clear" w:color="auto" w:fill="CCEEFF"/>
          </w:tcPr>
          <w:p>
            <w:pPr>
              <w:jc w:val="right"/>
              <w:ind w:right="320"/>
              <w:spacing w:after="0" w:line="107" w:lineRule="exact"/>
              <w:rPr>
                <w:sz w:val="20"/>
                <w:szCs w:val="20"/>
                <w:color w:val="auto"/>
              </w:rPr>
            </w:pPr>
            <w:r>
              <w:rPr>
                <w:rFonts w:ascii="Arial" w:cs="Arial" w:eastAsia="Arial" w:hAnsi="Arial"/>
                <w:sz w:val="10"/>
                <w:szCs w:val="10"/>
                <w:color w:val="auto"/>
              </w:rPr>
              <w:t>-</w:t>
            </w:r>
          </w:p>
        </w:tc>
        <w:tc>
          <w:tcPr>
            <w:tcW w:w="700" w:type="dxa"/>
            <w:vAlign w:val="bottom"/>
            <w:gridSpan w:val="6"/>
            <w:shd w:val="clear" w:color="auto" w:fill="CCEEFF"/>
          </w:tcPr>
          <w:p>
            <w:pPr>
              <w:jc w:val="right"/>
              <w:ind w:right="300"/>
              <w:spacing w:after="0" w:line="107" w:lineRule="exact"/>
              <w:rPr>
                <w:sz w:val="20"/>
                <w:szCs w:val="20"/>
                <w:color w:val="auto"/>
              </w:rPr>
            </w:pPr>
            <w:r>
              <w:rPr>
                <w:rFonts w:ascii="Arial" w:cs="Arial" w:eastAsia="Arial" w:hAnsi="Arial"/>
                <w:sz w:val="10"/>
                <w:szCs w:val="10"/>
                <w:color w:val="auto"/>
              </w:rPr>
              <w:t>-</w:t>
            </w:r>
          </w:p>
        </w:tc>
        <w:tc>
          <w:tcPr>
            <w:tcW w:w="820" w:type="dxa"/>
            <w:vAlign w:val="bottom"/>
            <w:gridSpan w:val="10"/>
            <w:shd w:val="clear" w:color="auto" w:fill="CCEEFF"/>
          </w:tcPr>
          <w:p>
            <w:pPr>
              <w:jc w:val="right"/>
              <w:ind w:right="600"/>
              <w:spacing w:after="0" w:line="107" w:lineRule="exact"/>
              <w:rPr>
                <w:sz w:val="20"/>
                <w:szCs w:val="20"/>
                <w:color w:val="auto"/>
              </w:rPr>
            </w:pPr>
            <w:r>
              <w:rPr>
                <w:rFonts w:ascii="Arial" w:cs="Arial" w:eastAsia="Arial" w:hAnsi="Arial"/>
                <w:sz w:val="10"/>
                <w:szCs w:val="10"/>
                <w:color w:val="auto"/>
              </w:rPr>
              <w:t>--</w:t>
            </w:r>
          </w:p>
        </w:tc>
        <w:tc>
          <w:tcPr>
            <w:tcW w:w="160" w:type="dxa"/>
            <w:vAlign w:val="bottom"/>
            <w:tcBorders>
              <w:right w:val="single" w:sz="8" w:color="CCEEFF"/>
            </w:tcBorders>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1040" w:type="dxa"/>
            <w:vAlign w:val="bottom"/>
            <w:gridSpan w:val="11"/>
            <w:shd w:val="clear" w:color="auto" w:fill="CCEEFF"/>
          </w:tcPr>
          <w:p>
            <w:pPr>
              <w:jc w:val="right"/>
              <w:ind w:right="1040"/>
              <w:spacing w:after="0"/>
              <w:rPr>
                <w:sz w:val="20"/>
                <w:szCs w:val="20"/>
                <w:color w:val="auto"/>
              </w:rPr>
            </w:pPr>
            <w:r>
              <w:rPr>
                <w:rFonts w:ascii="Arial" w:cs="Arial" w:eastAsia="Arial" w:hAnsi="Arial"/>
                <w:sz w:val="10"/>
                <w:szCs w:val="10"/>
                <w:color w:val="auto"/>
              </w:rPr>
              <w:t>-</w:t>
            </w:r>
          </w:p>
        </w:tc>
        <w:tc>
          <w:tcPr>
            <w:tcW w:w="480" w:type="dxa"/>
            <w:vAlign w:val="bottom"/>
            <w:gridSpan w:val="6"/>
            <w:shd w:val="clear" w:color="auto" w:fill="CCEEFF"/>
          </w:tcPr>
          <w:p>
            <w:pPr>
              <w:jc w:val="right"/>
              <w:ind w:right="230"/>
              <w:spacing w:after="0" w:line="107" w:lineRule="exact"/>
              <w:rPr>
                <w:sz w:val="20"/>
                <w:szCs w:val="20"/>
                <w:color w:val="auto"/>
              </w:rPr>
            </w:pPr>
            <w:r>
              <w:rPr>
                <w:rFonts w:ascii="Arial" w:cs="Arial" w:eastAsia="Arial" w:hAnsi="Arial"/>
                <w:sz w:val="10"/>
                <w:szCs w:val="10"/>
                <w:color w:val="auto"/>
              </w:rPr>
              <w:t>-</w:t>
            </w:r>
          </w:p>
        </w:tc>
        <w:tc>
          <w:tcPr>
            <w:tcW w:w="880" w:type="dxa"/>
            <w:vAlign w:val="bottom"/>
            <w:gridSpan w:val="9"/>
            <w:shd w:val="clear" w:color="auto" w:fill="CCEEFF"/>
          </w:tcPr>
          <w:p>
            <w:pPr>
              <w:jc w:val="right"/>
              <w:ind w:right="560"/>
              <w:spacing w:after="0" w:line="107" w:lineRule="exact"/>
              <w:rPr>
                <w:sz w:val="20"/>
                <w:szCs w:val="20"/>
                <w:color w:val="auto"/>
              </w:rPr>
            </w:pPr>
            <w:r>
              <w:rPr>
                <w:rFonts w:ascii="Arial" w:cs="Arial" w:eastAsia="Arial" w:hAnsi="Arial"/>
                <w:sz w:val="10"/>
                <w:szCs w:val="10"/>
                <w:color w:val="auto"/>
              </w:rPr>
              <w:t>-</w:t>
            </w:r>
          </w:p>
        </w:tc>
        <w:tc>
          <w:tcPr>
            <w:tcW w:w="940" w:type="dxa"/>
            <w:vAlign w:val="bottom"/>
            <w:gridSpan w:val="8"/>
            <w:shd w:val="clear" w:color="auto" w:fill="CCEEFF"/>
          </w:tcPr>
          <w:p>
            <w:pPr>
              <w:jc w:val="right"/>
              <w:ind w:right="500"/>
              <w:spacing w:after="0" w:line="107" w:lineRule="exact"/>
              <w:rPr>
                <w:sz w:val="20"/>
                <w:szCs w:val="20"/>
                <w:color w:val="auto"/>
              </w:rPr>
            </w:pPr>
            <w:r>
              <w:rPr>
                <w:rFonts w:ascii="Arial" w:cs="Arial" w:eastAsia="Arial" w:hAnsi="Arial"/>
                <w:sz w:val="10"/>
                <w:szCs w:val="10"/>
                <w:color w:val="auto"/>
              </w:rPr>
              <w:t>-</w:t>
            </w:r>
          </w:p>
        </w:tc>
        <w:tc>
          <w:tcPr>
            <w:tcW w:w="1000" w:type="dxa"/>
            <w:vAlign w:val="bottom"/>
            <w:gridSpan w:val="8"/>
            <w:shd w:val="clear" w:color="auto" w:fill="CCEEFF"/>
          </w:tcPr>
          <w:p>
            <w:pPr>
              <w:jc w:val="right"/>
              <w:ind w:right="390"/>
              <w:spacing w:after="0" w:line="107" w:lineRule="exact"/>
              <w:rPr>
                <w:sz w:val="20"/>
                <w:szCs w:val="20"/>
                <w:color w:val="auto"/>
              </w:rPr>
            </w:pPr>
            <w:r>
              <w:rPr>
                <w:rFonts w:ascii="Arial" w:cs="Arial" w:eastAsia="Arial" w:hAnsi="Arial"/>
                <w:sz w:val="10"/>
                <w:szCs w:val="10"/>
                <w:color w:val="auto"/>
              </w:rPr>
              <w:t>(5,593,035)</w:t>
            </w:r>
          </w:p>
        </w:tc>
        <w:tc>
          <w:tcPr>
            <w:tcW w:w="580" w:type="dxa"/>
            <w:vAlign w:val="bottom"/>
            <w:gridSpan w:val="4"/>
            <w:shd w:val="clear" w:color="auto" w:fill="CCEEFF"/>
          </w:tcPr>
          <w:p>
            <w:pPr>
              <w:jc w:val="right"/>
              <w:spacing w:after="0" w:line="107" w:lineRule="exact"/>
              <w:rPr>
                <w:sz w:val="20"/>
                <w:szCs w:val="20"/>
                <w:color w:val="auto"/>
              </w:rPr>
            </w:pPr>
            <w:r>
              <w:rPr>
                <w:rFonts w:ascii="Arial" w:cs="Arial" w:eastAsia="Arial" w:hAnsi="Arial"/>
                <w:sz w:val="10"/>
                <w:szCs w:val="10"/>
                <w:color w:val="auto"/>
              </w:rPr>
              <w:t>(5,593,035)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0" w:type="dxa"/>
            <w:vAlign w:val="bottom"/>
            <w:tcBorders>
              <w:top w:val="single" w:sz="8" w:color="CCEEFF"/>
            </w:tcBorders>
            <w:gridSpan w:val="4"/>
          </w:tcPr>
          <w:p>
            <w:pPr>
              <w:spacing w:after="0" w:line="67" w:lineRule="exact"/>
              <w:rPr>
                <w:sz w:val="20"/>
                <w:szCs w:val="20"/>
                <w:color w:val="auto"/>
              </w:rPr>
            </w:pPr>
            <w:r>
              <w:rPr>
                <w:rFonts w:ascii="Arial" w:cs="Arial" w:eastAsia="Arial" w:hAnsi="Arial"/>
                <w:sz w:val="7"/>
                <w:szCs w:val="7"/>
                <w:color w:val="auto"/>
              </w:rPr>
              <w:t>Balance at</w:t>
            </w:r>
          </w:p>
        </w:tc>
        <w:tc>
          <w:tcPr>
            <w:tcW w:w="400" w:type="dxa"/>
            <w:vAlign w:val="bottom"/>
            <w:tcBorders>
              <w:top w:val="single" w:sz="8" w:color="auto"/>
            </w:tcBorders>
          </w:tcPr>
          <w:p>
            <w:pPr>
              <w:spacing w:after="0"/>
              <w:rPr>
                <w:sz w:val="5"/>
                <w:szCs w:val="5"/>
                <w:color w:val="auto"/>
              </w:rPr>
            </w:pPr>
          </w:p>
        </w:tc>
        <w:tc>
          <w:tcPr>
            <w:tcW w:w="200" w:type="dxa"/>
            <w:vAlign w:val="bottom"/>
            <w:tcBorders>
              <w:top w:val="single" w:sz="8" w:color="CCEEFF"/>
            </w:tcBorders>
            <w:gridSpan w:val="3"/>
          </w:tcPr>
          <w:p>
            <w:pPr>
              <w:spacing w:after="0"/>
              <w:rPr>
                <w:sz w:val="5"/>
                <w:szCs w:val="5"/>
                <w:color w:val="auto"/>
              </w:rPr>
            </w:pPr>
          </w:p>
        </w:tc>
        <w:tc>
          <w:tcPr>
            <w:tcW w:w="320" w:type="dxa"/>
            <w:vAlign w:val="bottom"/>
            <w:tcBorders>
              <w:top w:val="single" w:sz="8" w:color="auto"/>
            </w:tcBorders>
            <w:gridSpan w:val="3"/>
          </w:tcPr>
          <w:p>
            <w:pPr>
              <w:spacing w:after="0"/>
              <w:rPr>
                <w:sz w:val="5"/>
                <w:szCs w:val="5"/>
                <w:color w:val="auto"/>
              </w:rPr>
            </w:pPr>
          </w:p>
        </w:tc>
        <w:tc>
          <w:tcPr>
            <w:tcW w:w="180" w:type="dxa"/>
            <w:vAlign w:val="bottom"/>
            <w:tcBorders>
              <w:top w:val="single" w:sz="8" w:color="CCEEFF"/>
            </w:tcBorders>
            <w:gridSpan w:val="4"/>
          </w:tcPr>
          <w:p>
            <w:pPr>
              <w:spacing w:after="0"/>
              <w:rPr>
                <w:sz w:val="5"/>
                <w:szCs w:val="5"/>
                <w:color w:val="auto"/>
              </w:rPr>
            </w:pPr>
          </w:p>
        </w:tc>
        <w:tc>
          <w:tcPr>
            <w:tcW w:w="540" w:type="dxa"/>
            <w:vAlign w:val="bottom"/>
            <w:tcBorders>
              <w:top w:val="single" w:sz="8" w:color="auto"/>
            </w:tcBorders>
            <w:gridSpan w:val="4"/>
          </w:tcPr>
          <w:p>
            <w:pPr>
              <w:spacing w:after="0"/>
              <w:rPr>
                <w:sz w:val="5"/>
                <w:szCs w:val="5"/>
                <w:color w:val="auto"/>
              </w:rPr>
            </w:pPr>
          </w:p>
        </w:tc>
        <w:tc>
          <w:tcPr>
            <w:tcW w:w="220" w:type="dxa"/>
            <w:vAlign w:val="bottom"/>
            <w:tcBorders>
              <w:top w:val="single" w:sz="8" w:color="CCEEFF"/>
            </w:tcBorders>
            <w:gridSpan w:val="3"/>
          </w:tcPr>
          <w:p>
            <w:pPr>
              <w:spacing w:after="0"/>
              <w:rPr>
                <w:sz w:val="5"/>
                <w:szCs w:val="5"/>
                <w:color w:val="auto"/>
              </w:rPr>
            </w:pPr>
          </w:p>
        </w:tc>
        <w:tc>
          <w:tcPr>
            <w:tcW w:w="320" w:type="dxa"/>
            <w:vAlign w:val="bottom"/>
            <w:tcBorders>
              <w:top w:val="single" w:sz="8" w:color="auto"/>
            </w:tcBorders>
            <w:gridSpan w:val="3"/>
          </w:tcPr>
          <w:p>
            <w:pPr>
              <w:spacing w:after="0"/>
              <w:rPr>
                <w:sz w:val="5"/>
                <w:szCs w:val="5"/>
                <w:color w:val="auto"/>
              </w:rPr>
            </w:pPr>
          </w:p>
        </w:tc>
        <w:tc>
          <w:tcPr>
            <w:tcW w:w="160" w:type="dxa"/>
            <w:vAlign w:val="bottom"/>
            <w:tcBorders>
              <w:top w:val="single" w:sz="8" w:color="CCEEFF"/>
            </w:tcBorders>
            <w:gridSpan w:val="3"/>
          </w:tcPr>
          <w:p>
            <w:pPr>
              <w:spacing w:after="0"/>
              <w:rPr>
                <w:sz w:val="5"/>
                <w:szCs w:val="5"/>
                <w:color w:val="auto"/>
              </w:rPr>
            </w:pPr>
          </w:p>
        </w:tc>
        <w:tc>
          <w:tcPr>
            <w:tcW w:w="560" w:type="dxa"/>
            <w:vAlign w:val="bottom"/>
            <w:tcBorders>
              <w:top w:val="single" w:sz="8" w:color="auto"/>
            </w:tcBorders>
            <w:gridSpan w:val="4"/>
          </w:tcPr>
          <w:p>
            <w:pPr>
              <w:spacing w:after="0"/>
              <w:rPr>
                <w:sz w:val="5"/>
                <w:szCs w:val="5"/>
                <w:color w:val="auto"/>
              </w:rPr>
            </w:pPr>
          </w:p>
        </w:tc>
        <w:tc>
          <w:tcPr>
            <w:tcW w:w="200" w:type="dxa"/>
            <w:vAlign w:val="bottom"/>
            <w:tcBorders>
              <w:top w:val="single" w:sz="8" w:color="CCEEFF"/>
            </w:tcBorders>
            <w:gridSpan w:val="2"/>
          </w:tcPr>
          <w:p>
            <w:pPr>
              <w:spacing w:after="0"/>
              <w:rPr>
                <w:sz w:val="5"/>
                <w:szCs w:val="5"/>
                <w:color w:val="auto"/>
              </w:rPr>
            </w:pPr>
          </w:p>
        </w:tc>
        <w:tc>
          <w:tcPr>
            <w:tcW w:w="320" w:type="dxa"/>
            <w:vAlign w:val="bottom"/>
            <w:tcBorders>
              <w:top w:val="single" w:sz="8" w:color="auto"/>
            </w:tcBorders>
            <w:gridSpan w:val="4"/>
          </w:tcPr>
          <w:p>
            <w:pPr>
              <w:spacing w:after="0"/>
              <w:rPr>
                <w:sz w:val="5"/>
                <w:szCs w:val="5"/>
                <w:color w:val="auto"/>
              </w:rPr>
            </w:pPr>
          </w:p>
        </w:tc>
        <w:tc>
          <w:tcPr>
            <w:tcW w:w="160" w:type="dxa"/>
            <w:vAlign w:val="bottom"/>
            <w:tcBorders>
              <w:top w:val="single" w:sz="8" w:color="CCEEFF"/>
            </w:tcBorders>
            <w:gridSpan w:val="2"/>
          </w:tcPr>
          <w:p>
            <w:pPr>
              <w:spacing w:after="0"/>
              <w:rPr>
                <w:sz w:val="5"/>
                <w:szCs w:val="5"/>
                <w:color w:val="auto"/>
              </w:rPr>
            </w:pPr>
          </w:p>
        </w:tc>
        <w:tc>
          <w:tcPr>
            <w:tcW w:w="560" w:type="dxa"/>
            <w:vAlign w:val="bottom"/>
            <w:tcBorders>
              <w:top w:val="single" w:sz="8" w:color="auto"/>
            </w:tcBorders>
            <w:gridSpan w:val="3"/>
          </w:tcPr>
          <w:p>
            <w:pPr>
              <w:spacing w:after="0"/>
              <w:rPr>
                <w:sz w:val="5"/>
                <w:szCs w:val="5"/>
                <w:color w:val="auto"/>
              </w:rPr>
            </w:pPr>
          </w:p>
        </w:tc>
        <w:tc>
          <w:tcPr>
            <w:tcW w:w="200" w:type="dxa"/>
            <w:vAlign w:val="bottom"/>
            <w:tcBorders>
              <w:top w:val="single" w:sz="8" w:color="CCEEFF"/>
            </w:tcBorders>
            <w:gridSpan w:val="4"/>
          </w:tcPr>
          <w:p>
            <w:pPr>
              <w:spacing w:after="0"/>
              <w:rPr>
                <w:sz w:val="5"/>
                <w:szCs w:val="5"/>
                <w:color w:val="auto"/>
              </w:rPr>
            </w:pPr>
          </w:p>
        </w:tc>
        <w:tc>
          <w:tcPr>
            <w:tcW w:w="320" w:type="dxa"/>
            <w:vAlign w:val="bottom"/>
            <w:tcBorders>
              <w:top w:val="single" w:sz="8" w:color="auto"/>
            </w:tcBorders>
            <w:gridSpan w:val="4"/>
          </w:tcPr>
          <w:p>
            <w:pPr>
              <w:spacing w:after="0"/>
              <w:rPr>
                <w:sz w:val="5"/>
                <w:szCs w:val="5"/>
                <w:color w:val="auto"/>
              </w:rPr>
            </w:pPr>
          </w:p>
        </w:tc>
        <w:tc>
          <w:tcPr>
            <w:tcW w:w="180" w:type="dxa"/>
            <w:vAlign w:val="bottom"/>
            <w:tcBorders>
              <w:top w:val="single" w:sz="8" w:color="CCEEFF"/>
            </w:tcBorders>
            <w:gridSpan w:val="4"/>
          </w:tcPr>
          <w:p>
            <w:pPr>
              <w:spacing w:after="0"/>
              <w:rPr>
                <w:sz w:val="5"/>
                <w:szCs w:val="5"/>
                <w:color w:val="auto"/>
              </w:rPr>
            </w:pPr>
          </w:p>
        </w:tc>
        <w:tc>
          <w:tcPr>
            <w:tcW w:w="580" w:type="dxa"/>
            <w:vAlign w:val="bottom"/>
            <w:tcBorders>
              <w:top w:val="single" w:sz="8" w:color="auto"/>
            </w:tcBorders>
            <w:gridSpan w:val="4"/>
          </w:tcPr>
          <w:p>
            <w:pPr>
              <w:spacing w:after="0"/>
              <w:rPr>
                <w:sz w:val="5"/>
                <w:szCs w:val="5"/>
                <w:color w:val="auto"/>
              </w:rPr>
            </w:pPr>
          </w:p>
        </w:tc>
        <w:tc>
          <w:tcPr>
            <w:tcW w:w="160" w:type="dxa"/>
            <w:vAlign w:val="bottom"/>
            <w:tcBorders>
              <w:top w:val="single" w:sz="8" w:color="CCEEFF"/>
            </w:tcBorders>
          </w:tcPr>
          <w:p>
            <w:pPr>
              <w:spacing w:after="0"/>
              <w:rPr>
                <w:sz w:val="5"/>
                <w:szCs w:val="5"/>
                <w:color w:val="auto"/>
              </w:rPr>
            </w:pPr>
          </w:p>
        </w:tc>
        <w:tc>
          <w:tcPr>
            <w:tcW w:w="320" w:type="dxa"/>
            <w:vAlign w:val="bottom"/>
            <w:tcBorders>
              <w:top w:val="single" w:sz="8" w:color="auto"/>
            </w:tcBorders>
            <w:gridSpan w:val="3"/>
          </w:tcPr>
          <w:p>
            <w:pPr>
              <w:spacing w:after="0"/>
              <w:rPr>
                <w:sz w:val="5"/>
                <w:szCs w:val="5"/>
                <w:color w:val="auto"/>
              </w:rPr>
            </w:pPr>
          </w:p>
        </w:tc>
        <w:tc>
          <w:tcPr>
            <w:tcW w:w="180" w:type="dxa"/>
            <w:vAlign w:val="bottom"/>
            <w:tcBorders>
              <w:top w:val="single" w:sz="8" w:color="CCEEFF"/>
            </w:tcBorders>
            <w:gridSpan w:val="3"/>
          </w:tcPr>
          <w:p>
            <w:pPr>
              <w:spacing w:after="0"/>
              <w:rPr>
                <w:sz w:val="5"/>
                <w:szCs w:val="5"/>
                <w:color w:val="auto"/>
              </w:rPr>
            </w:pPr>
          </w:p>
        </w:tc>
        <w:tc>
          <w:tcPr>
            <w:tcW w:w="580" w:type="dxa"/>
            <w:vAlign w:val="bottom"/>
            <w:tcBorders>
              <w:top w:val="single" w:sz="8" w:color="auto"/>
            </w:tcBorders>
            <w:gridSpan w:val="5"/>
          </w:tcPr>
          <w:p>
            <w:pPr>
              <w:spacing w:after="0"/>
              <w:rPr>
                <w:sz w:val="5"/>
                <w:szCs w:val="5"/>
                <w:color w:val="auto"/>
              </w:rPr>
            </w:pPr>
          </w:p>
        </w:tc>
        <w:tc>
          <w:tcPr>
            <w:tcW w:w="220" w:type="dxa"/>
            <w:vAlign w:val="bottom"/>
            <w:tcBorders>
              <w:top w:val="single" w:sz="8" w:color="CCEEFF"/>
            </w:tcBorders>
            <w:gridSpan w:val="4"/>
          </w:tcPr>
          <w:p>
            <w:pPr>
              <w:spacing w:after="0"/>
              <w:rPr>
                <w:sz w:val="5"/>
                <w:szCs w:val="5"/>
                <w:color w:val="auto"/>
              </w:rPr>
            </w:pPr>
          </w:p>
        </w:tc>
        <w:tc>
          <w:tcPr>
            <w:tcW w:w="380" w:type="dxa"/>
            <w:vAlign w:val="bottom"/>
            <w:tcBorders>
              <w:top w:val="single" w:sz="8" w:color="auto"/>
            </w:tcBorders>
            <w:gridSpan w:val="3"/>
          </w:tcPr>
          <w:p>
            <w:pPr>
              <w:spacing w:after="0"/>
              <w:rPr>
                <w:sz w:val="5"/>
                <w:szCs w:val="5"/>
                <w:color w:val="auto"/>
              </w:rPr>
            </w:pPr>
          </w:p>
        </w:tc>
        <w:tc>
          <w:tcPr>
            <w:tcW w:w="380" w:type="dxa"/>
            <w:vAlign w:val="bottom"/>
            <w:tcBorders>
              <w:top w:val="single" w:sz="8" w:color="CCEEFF"/>
            </w:tcBorders>
            <w:gridSpan w:val="5"/>
          </w:tcPr>
          <w:p>
            <w:pPr>
              <w:spacing w:after="0"/>
              <w:rPr>
                <w:sz w:val="5"/>
                <w:szCs w:val="5"/>
                <w:color w:val="auto"/>
              </w:rPr>
            </w:pPr>
          </w:p>
        </w:tc>
        <w:tc>
          <w:tcPr>
            <w:tcW w:w="620" w:type="dxa"/>
            <w:vAlign w:val="bottom"/>
            <w:tcBorders>
              <w:top w:val="single" w:sz="8" w:color="auto"/>
            </w:tcBorders>
            <w:gridSpan w:val="4"/>
          </w:tcPr>
          <w:p>
            <w:pPr>
              <w:spacing w:after="0"/>
              <w:rPr>
                <w:sz w:val="5"/>
                <w:szCs w:val="5"/>
                <w:color w:val="auto"/>
              </w:rPr>
            </w:pPr>
          </w:p>
        </w:tc>
        <w:tc>
          <w:tcPr>
            <w:tcW w:w="400" w:type="dxa"/>
            <w:vAlign w:val="bottom"/>
            <w:tcBorders>
              <w:top w:val="single" w:sz="8" w:color="CCEEFF"/>
            </w:tcBorders>
            <w:gridSpan w:val="5"/>
          </w:tcPr>
          <w:p>
            <w:pPr>
              <w:spacing w:after="0"/>
              <w:rPr>
                <w:sz w:val="5"/>
                <w:szCs w:val="5"/>
                <w:color w:val="auto"/>
              </w:rPr>
            </w:pPr>
          </w:p>
        </w:tc>
        <w:tc>
          <w:tcPr>
            <w:tcW w:w="640" w:type="dxa"/>
            <w:vAlign w:val="bottom"/>
            <w:tcBorders>
              <w:top w:val="single" w:sz="8" w:color="auto"/>
            </w:tcBorders>
            <w:gridSpan w:val="3"/>
          </w:tcPr>
          <w:p>
            <w:pPr>
              <w:spacing w:after="0"/>
              <w:rPr>
                <w:sz w:val="5"/>
                <w:szCs w:val="5"/>
                <w:color w:val="auto"/>
              </w:rPr>
            </w:pPr>
          </w:p>
        </w:tc>
        <w:tc>
          <w:tcPr>
            <w:tcW w:w="420" w:type="dxa"/>
            <w:vAlign w:val="bottom"/>
            <w:tcBorders>
              <w:top w:val="single" w:sz="8" w:color="CCEEFF"/>
            </w:tcBorders>
            <w:gridSpan w:val="5"/>
          </w:tcPr>
          <w:p>
            <w:pPr>
              <w:spacing w:after="0"/>
              <w:rPr>
                <w:sz w:val="5"/>
                <w:szCs w:val="5"/>
                <w:color w:val="auto"/>
              </w:rPr>
            </w:pPr>
          </w:p>
        </w:tc>
        <w:tc>
          <w:tcPr>
            <w:tcW w:w="580" w:type="dxa"/>
            <w:vAlign w:val="bottom"/>
            <w:tcBorders>
              <w:top w:val="single" w:sz="8" w:color="auto"/>
            </w:tcBorders>
            <w:gridSpan w:val="4"/>
          </w:tcPr>
          <w:p>
            <w:pPr>
              <w:spacing w:after="0"/>
              <w:rPr>
                <w:sz w:val="5"/>
                <w:szCs w:val="5"/>
                <w:color w:val="auto"/>
              </w:rPr>
            </w:pPr>
          </w:p>
        </w:tc>
        <w:tc>
          <w:tcPr>
            <w:tcW w:w="4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680" w:type="dxa"/>
            <w:vAlign w:val="bottom"/>
            <w:gridSpan w:val="3"/>
          </w:tcPr>
          <w:p>
            <w:pPr>
              <w:spacing w:after="0" w:line="107" w:lineRule="exact"/>
              <w:rPr>
                <w:sz w:val="20"/>
                <w:szCs w:val="20"/>
                <w:color w:val="auto"/>
              </w:rPr>
            </w:pPr>
            <w:r>
              <w:rPr>
                <w:rFonts w:ascii="Arial" w:cs="Arial" w:eastAsia="Arial" w:hAnsi="Arial"/>
                <w:sz w:val="10"/>
                <w:szCs w:val="10"/>
                <w:color w:val="auto"/>
              </w:rPr>
              <w:t>September</w:t>
            </w:r>
          </w:p>
        </w:tc>
        <w:tc>
          <w:tcPr>
            <w:tcW w:w="740" w:type="dxa"/>
            <w:vAlign w:val="bottom"/>
            <w:gridSpan w:val="3"/>
            <w:vMerge w:val="restart"/>
          </w:tcPr>
          <w:p>
            <w:pPr>
              <w:jc w:val="right"/>
              <w:spacing w:after="0"/>
              <w:rPr>
                <w:sz w:val="20"/>
                <w:szCs w:val="20"/>
                <w:color w:val="auto"/>
              </w:rPr>
            </w:pPr>
            <w:r>
              <w:rPr>
                <w:rFonts w:ascii="Arial" w:cs="Arial" w:eastAsia="Arial" w:hAnsi="Arial"/>
                <w:sz w:val="10"/>
                <w:szCs w:val="10"/>
                <w:color w:val="auto"/>
              </w:rPr>
              <w:t>6,615,000</w:t>
            </w:r>
          </w:p>
        </w:tc>
        <w:tc>
          <w:tcPr>
            <w:tcW w:w="20" w:type="dxa"/>
            <w:vAlign w:val="bottom"/>
          </w:tcPr>
          <w:p>
            <w:pPr>
              <w:spacing w:after="0"/>
              <w:rPr>
                <w:sz w:val="9"/>
                <w:szCs w:val="9"/>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0"/>
                <w:szCs w:val="10"/>
                <w:color w:val="auto"/>
              </w:rPr>
              <w:t>$</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rPr>
              <w:t>662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0"/>
                <w:szCs w:val="10"/>
                <w:color w:val="auto"/>
              </w:rPr>
              <w:t>2,525,800</w:t>
            </w:r>
          </w:p>
        </w:tc>
        <w:tc>
          <w:tcPr>
            <w:tcW w:w="20" w:type="dxa"/>
            <w:vAlign w:val="bottom"/>
          </w:tcPr>
          <w:p>
            <w:pPr>
              <w:spacing w:after="0"/>
              <w:rPr>
                <w:sz w:val="9"/>
                <w:szCs w:val="9"/>
                <w:color w:val="auto"/>
              </w:rPr>
            </w:pPr>
          </w:p>
        </w:tc>
        <w:tc>
          <w:tcPr>
            <w:tcW w:w="36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w w:val="83"/>
              </w:rPr>
              <w:t>253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vMerge w:val="restart"/>
          </w:tcPr>
          <w:p>
            <w:pPr>
              <w:jc w:val="right"/>
              <w:spacing w:after="0"/>
              <w:rPr>
                <w:sz w:val="20"/>
                <w:szCs w:val="20"/>
                <w:color w:val="auto"/>
              </w:rPr>
            </w:pPr>
            <w:r>
              <w:rPr>
                <w:rFonts w:ascii="Arial" w:cs="Arial" w:eastAsia="Arial" w:hAnsi="Arial"/>
                <w:sz w:val="10"/>
                <w:szCs w:val="10"/>
                <w:color w:val="auto"/>
              </w:rPr>
              <w:t>4,039,963</w:t>
            </w:r>
          </w:p>
        </w:tc>
        <w:tc>
          <w:tcPr>
            <w:tcW w:w="28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80" w:type="dxa"/>
            <w:vAlign w:val="bottom"/>
            <w:gridSpan w:val="3"/>
            <w:vMerge w:val="restart"/>
          </w:tcPr>
          <w:p>
            <w:pPr>
              <w:jc w:val="right"/>
              <w:ind w:right="20"/>
              <w:spacing w:after="0"/>
              <w:rPr>
                <w:sz w:val="20"/>
                <w:szCs w:val="20"/>
                <w:color w:val="auto"/>
              </w:rPr>
            </w:pPr>
            <w:r>
              <w:rPr>
                <w:rFonts w:ascii="Arial" w:cs="Arial" w:eastAsia="Arial" w:hAnsi="Arial"/>
                <w:sz w:val="10"/>
                <w:szCs w:val="10"/>
                <w:color w:val="auto"/>
                <w:w w:val="83"/>
              </w:rPr>
              <w:t>404</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color w:val="auto"/>
                <w:w w:val="85"/>
              </w:rPr>
              <w:t>3,333,333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3"/>
            <w:vMerge w:val="restart"/>
          </w:tcPr>
          <w:p>
            <w:pPr>
              <w:jc w:val="right"/>
              <w:ind w:right="60"/>
              <w:spacing w:after="0"/>
              <w:rPr>
                <w:sz w:val="20"/>
                <w:szCs w:val="20"/>
                <w:color w:val="auto"/>
              </w:rPr>
            </w:pPr>
            <w:r>
              <w:rPr>
                <w:rFonts w:ascii="Arial" w:cs="Arial" w:eastAsia="Arial" w:hAnsi="Arial"/>
                <w:sz w:val="10"/>
                <w:szCs w:val="10"/>
                <w:color w:val="auto"/>
              </w:rPr>
              <w:t>$</w:t>
            </w:r>
          </w:p>
        </w:tc>
        <w:tc>
          <w:tcPr>
            <w:tcW w:w="260" w:type="dxa"/>
            <w:vAlign w:val="bottom"/>
            <w:gridSpan w:val="4"/>
            <w:vMerge w:val="restart"/>
          </w:tcPr>
          <w:p>
            <w:pPr>
              <w:jc w:val="right"/>
              <w:ind w:right="40"/>
              <w:spacing w:after="0"/>
              <w:rPr>
                <w:sz w:val="20"/>
                <w:szCs w:val="20"/>
                <w:color w:val="auto"/>
              </w:rPr>
            </w:pPr>
            <w:r>
              <w:rPr>
                <w:rFonts w:ascii="Arial" w:cs="Arial" w:eastAsia="Arial" w:hAnsi="Arial"/>
                <w:sz w:val="10"/>
                <w:szCs w:val="10"/>
                <w:color w:val="auto"/>
              </w:rPr>
              <w:t>333</w:t>
            </w:r>
          </w:p>
        </w:tc>
        <w:tc>
          <w:tcPr>
            <w:tcW w:w="720" w:type="dxa"/>
            <w:vAlign w:val="bottom"/>
            <w:gridSpan w:val="7"/>
            <w:vMerge w:val="restart"/>
          </w:tcPr>
          <w:p>
            <w:pPr>
              <w:jc w:val="right"/>
              <w:spacing w:after="0"/>
              <w:rPr>
                <w:sz w:val="20"/>
                <w:szCs w:val="20"/>
                <w:color w:val="auto"/>
              </w:rPr>
            </w:pPr>
            <w:r>
              <w:rPr>
                <w:rFonts w:ascii="Arial" w:cs="Arial" w:eastAsia="Arial" w:hAnsi="Arial"/>
                <w:sz w:val="10"/>
                <w:szCs w:val="10"/>
                <w:color w:val="auto"/>
              </w:rPr>
              <w:t>4,090,540</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0"/>
                <w:szCs w:val="10"/>
                <w:color w:val="auto"/>
                <w:w w:val="71"/>
              </w:rPr>
              <w:t>409</w:t>
            </w:r>
          </w:p>
        </w:tc>
        <w:tc>
          <w:tcPr>
            <w:tcW w:w="760" w:type="dxa"/>
            <w:vAlign w:val="bottom"/>
            <w:gridSpan w:val="8"/>
            <w:vMerge w:val="restart"/>
          </w:tcPr>
          <w:p>
            <w:pPr>
              <w:jc w:val="right"/>
              <w:ind w:right="20"/>
              <w:spacing w:after="0"/>
              <w:rPr>
                <w:sz w:val="20"/>
                <w:szCs w:val="20"/>
                <w:color w:val="auto"/>
              </w:rPr>
            </w:pPr>
            <w:r>
              <w:rPr>
                <w:rFonts w:ascii="Arial" w:cs="Arial" w:eastAsia="Arial" w:hAnsi="Arial"/>
                <w:sz w:val="10"/>
                <w:szCs w:val="10"/>
                <w:color w:val="auto"/>
              </w:rPr>
              <w:t>35,216,000</w:t>
            </w:r>
          </w:p>
        </w:tc>
        <w:tc>
          <w:tcPr>
            <w:tcW w:w="20" w:type="dxa"/>
            <w:vAlign w:val="bottom"/>
          </w:tcPr>
          <w:p>
            <w:pPr>
              <w:spacing w:after="0"/>
              <w:rPr>
                <w:sz w:val="9"/>
                <w:szCs w:val="9"/>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gridSpan w:val="3"/>
            <w:vMerge w:val="restart"/>
          </w:tcPr>
          <w:p>
            <w:pPr>
              <w:jc w:val="right"/>
              <w:ind w:right="40"/>
              <w:spacing w:after="0"/>
              <w:rPr>
                <w:sz w:val="20"/>
                <w:szCs w:val="20"/>
                <w:color w:val="auto"/>
              </w:rPr>
            </w:pPr>
            <w:r>
              <w:rPr>
                <w:rFonts w:ascii="Arial" w:cs="Arial" w:eastAsia="Arial" w:hAnsi="Arial"/>
                <w:sz w:val="10"/>
                <w:szCs w:val="10"/>
                <w:color w:val="auto"/>
              </w:rPr>
              <w:t>3,522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0"/>
                <w:szCs w:val="10"/>
                <w:color w:val="auto"/>
                <w:w w:val="83"/>
              </w:rPr>
              <w:t>52,649,882</w:t>
            </w:r>
          </w:p>
        </w:tc>
        <w:tc>
          <w:tcPr>
            <w:tcW w:w="60" w:type="dxa"/>
            <w:vAlign w:val="bottom"/>
          </w:tcPr>
          <w:p>
            <w:pPr>
              <w:spacing w:after="0"/>
              <w:rPr>
                <w:sz w:val="9"/>
                <w:szCs w:val="9"/>
                <w:color w:val="auto"/>
              </w:rPr>
            </w:pPr>
          </w:p>
        </w:tc>
        <w:tc>
          <w:tcPr>
            <w:tcW w:w="280" w:type="dxa"/>
            <w:vAlign w:val="bottom"/>
            <w:gridSpan w:val="4"/>
            <w:vMerge w:val="restart"/>
          </w:tcPr>
          <w:p>
            <w:pPr>
              <w:ind w:left="180"/>
              <w:spacing w:after="0"/>
              <w:rPr>
                <w:sz w:val="20"/>
                <w:szCs w:val="20"/>
                <w:color w:val="auto"/>
              </w:rPr>
            </w:pPr>
            <w:r>
              <w:rPr>
                <w:rFonts w:ascii="Arial" w:cs="Arial" w:eastAsia="Arial" w:hAnsi="Arial"/>
                <w:sz w:val="10"/>
                <w:szCs w:val="10"/>
                <w:color w:val="auto"/>
              </w:rPr>
              <w:t>$</w:t>
            </w:r>
          </w:p>
        </w:tc>
        <w:tc>
          <w:tcPr>
            <w:tcW w:w="700" w:type="dxa"/>
            <w:vAlign w:val="bottom"/>
            <w:gridSpan w:val="4"/>
            <w:vMerge w:val="restart"/>
          </w:tcPr>
          <w:p>
            <w:pPr>
              <w:jc w:val="right"/>
              <w:ind w:right="140"/>
              <w:spacing w:after="0"/>
              <w:rPr>
                <w:sz w:val="20"/>
                <w:szCs w:val="20"/>
                <w:color w:val="auto"/>
              </w:rPr>
            </w:pPr>
            <w:r>
              <w:rPr>
                <w:rFonts w:ascii="Arial" w:cs="Arial" w:eastAsia="Arial" w:hAnsi="Arial"/>
                <w:sz w:val="10"/>
                <w:szCs w:val="10"/>
                <w:color w:val="auto"/>
                <w:w w:val="95"/>
              </w:rPr>
              <w:t>(17,577,455)</w:t>
            </w:r>
          </w:p>
        </w:tc>
        <w:tc>
          <w:tcPr>
            <w:tcW w:w="60" w:type="dxa"/>
            <w:vAlign w:val="bottom"/>
          </w:tcPr>
          <w:p>
            <w:pPr>
              <w:spacing w:after="0"/>
              <w:rPr>
                <w:sz w:val="9"/>
                <w:szCs w:val="9"/>
                <w:color w:val="auto"/>
              </w:rPr>
            </w:pPr>
          </w:p>
        </w:tc>
        <w:tc>
          <w:tcPr>
            <w:tcW w:w="240" w:type="dxa"/>
            <w:vAlign w:val="bottom"/>
            <w:gridSpan w:val="3"/>
            <w:vMerge w:val="restart"/>
          </w:tcPr>
          <w:p>
            <w:pPr>
              <w:ind w:left="200"/>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4"/>
            <w:vMerge w:val="restart"/>
          </w:tcPr>
          <w:p>
            <w:pPr>
              <w:jc w:val="right"/>
              <w:ind w:right="40"/>
              <w:spacing w:after="0"/>
              <w:rPr>
                <w:sz w:val="20"/>
                <w:szCs w:val="20"/>
                <w:color w:val="auto"/>
              </w:rPr>
            </w:pPr>
            <w:r>
              <w:rPr>
                <w:rFonts w:ascii="Arial" w:cs="Arial" w:eastAsia="Arial" w:hAnsi="Arial"/>
                <w:sz w:val="10"/>
                <w:szCs w:val="10"/>
                <w:b w:val="1"/>
                <w:bCs w:val="1"/>
                <w:color w:val="auto"/>
              </w:rPr>
              <w:t>35,078,010</w:t>
            </w:r>
          </w:p>
        </w:tc>
        <w:tc>
          <w:tcPr>
            <w:tcW w:w="0" w:type="dxa"/>
            <w:vAlign w:val="bottom"/>
          </w:tcPr>
          <w:p>
            <w:pPr>
              <w:spacing w:after="0"/>
              <w:rPr>
                <w:sz w:val="1"/>
                <w:szCs w:val="1"/>
                <w:color w:val="auto"/>
              </w:rPr>
            </w:pPr>
          </w:p>
        </w:tc>
      </w:tr>
      <w:tr>
        <w:trPr>
          <w:trHeight w:val="108"/>
        </w:trPr>
        <w:tc>
          <w:tcPr>
            <w:tcW w:w="660" w:type="dxa"/>
            <w:vAlign w:val="bottom"/>
            <w:gridSpan w:val="2"/>
          </w:tcPr>
          <w:p>
            <w:pPr>
              <w:spacing w:after="0" w:line="108" w:lineRule="exact"/>
              <w:rPr>
                <w:sz w:val="20"/>
                <w:szCs w:val="20"/>
                <w:color w:val="auto"/>
              </w:rPr>
            </w:pPr>
            <w:r>
              <w:rPr>
                <w:rFonts w:ascii="Arial" w:cs="Arial" w:eastAsia="Arial" w:hAnsi="Arial"/>
                <w:sz w:val="10"/>
                <w:szCs w:val="10"/>
                <w:color w:val="auto"/>
              </w:rPr>
              <w:t>30, 2021</w:t>
            </w:r>
          </w:p>
        </w:tc>
        <w:tc>
          <w:tcPr>
            <w:tcW w:w="2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1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3"/>
            <w:vMerge w:val="continue"/>
          </w:tcPr>
          <w:p>
            <w:pPr>
              <w:spacing w:after="0"/>
              <w:rPr>
                <w:sz w:val="9"/>
                <w:szCs w:val="9"/>
                <w:color w:val="auto"/>
              </w:rPr>
            </w:pPr>
          </w:p>
        </w:tc>
        <w:tc>
          <w:tcPr>
            <w:tcW w:w="260" w:type="dxa"/>
            <w:vAlign w:val="bottom"/>
            <w:gridSpan w:val="4"/>
            <w:vMerge w:val="continue"/>
          </w:tcPr>
          <w:p>
            <w:pPr>
              <w:spacing w:after="0"/>
              <w:rPr>
                <w:sz w:val="9"/>
                <w:szCs w:val="9"/>
                <w:color w:val="auto"/>
              </w:rPr>
            </w:pPr>
          </w:p>
        </w:tc>
        <w:tc>
          <w:tcPr>
            <w:tcW w:w="720" w:type="dxa"/>
            <w:vAlign w:val="bottom"/>
            <w:gridSpan w:val="7"/>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7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3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4"/>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5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8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360" w:type="dxa"/>
            <w:vAlign w:val="bottom"/>
            <w:gridSpan w:val="106"/>
          </w:tcPr>
          <w:p>
            <w:pPr>
              <w:spacing w:after="0"/>
              <w:rPr>
                <w:sz w:val="20"/>
                <w:szCs w:val="20"/>
                <w:color w:val="auto"/>
              </w:rPr>
            </w:pPr>
            <w:r>
              <w:rPr>
                <w:rFonts w:ascii="Arial" w:cs="Arial" w:eastAsia="Arial" w:hAnsi="Arial"/>
                <w:sz w:val="10"/>
                <w:szCs w:val="10"/>
                <w:b w:val="1"/>
                <w:bCs w:val="1"/>
                <w:color w:val="auto"/>
              </w:rPr>
              <w:t>Redeemable</w:t>
            </w:r>
          </w:p>
        </w:tc>
        <w:tc>
          <w:tcPr>
            <w:tcW w:w="0" w:type="dxa"/>
            <w:vAlign w:val="bottom"/>
          </w:tcPr>
          <w:p>
            <w:pPr>
              <w:spacing w:after="0"/>
              <w:rPr>
                <w:sz w:val="1"/>
                <w:szCs w:val="1"/>
                <w:color w:val="auto"/>
              </w:rPr>
            </w:pPr>
          </w:p>
        </w:tc>
      </w:tr>
      <w:tr>
        <w:trPr>
          <w:trHeight w:val="122"/>
        </w:trPr>
        <w:tc>
          <w:tcPr>
            <w:tcW w:w="11360" w:type="dxa"/>
            <w:vAlign w:val="bottom"/>
            <w:gridSpan w:val="106"/>
          </w:tcPr>
          <w:p>
            <w:pPr>
              <w:spacing w:after="0"/>
              <w:rPr>
                <w:sz w:val="20"/>
                <w:szCs w:val="20"/>
                <w:color w:val="auto"/>
              </w:rPr>
            </w:pPr>
            <w:r>
              <w:rPr>
                <w:rFonts w:ascii="Arial" w:cs="Arial" w:eastAsia="Arial" w:hAnsi="Arial"/>
                <w:sz w:val="10"/>
                <w:szCs w:val="10"/>
                <w:b w:val="1"/>
                <w:bCs w:val="1"/>
                <w:color w:val="auto"/>
              </w:rPr>
              <w:t>Preferred Stock</w:t>
            </w:r>
          </w:p>
        </w:tc>
        <w:tc>
          <w:tcPr>
            <w:tcW w:w="0" w:type="dxa"/>
            <w:vAlign w:val="bottom"/>
          </w:tcPr>
          <w:p>
            <w:pPr>
              <w:spacing w:after="0"/>
              <w:rPr>
                <w:sz w:val="1"/>
                <w:szCs w:val="1"/>
                <w:color w:val="auto"/>
              </w:rPr>
            </w:pPr>
          </w:p>
        </w:tc>
      </w:tr>
      <w:tr>
        <w:trPr>
          <w:trHeight w:val="94"/>
        </w:trPr>
        <w:tc>
          <w:tcPr>
            <w:tcW w:w="1460" w:type="dxa"/>
            <w:vAlign w:val="bottom"/>
            <w:gridSpan w:val="8"/>
          </w:tcPr>
          <w:p>
            <w:pPr>
              <w:spacing w:after="0"/>
              <w:rPr>
                <w:sz w:val="8"/>
                <w:szCs w:val="8"/>
                <w:color w:val="auto"/>
              </w:rPr>
            </w:pPr>
          </w:p>
        </w:tc>
        <w:tc>
          <w:tcPr>
            <w:tcW w:w="1140" w:type="dxa"/>
            <w:vAlign w:val="bottom"/>
            <w:tcBorders>
              <w:top w:val="single" w:sz="8" w:color="auto"/>
            </w:tcBorders>
            <w:gridSpan w:val="11"/>
          </w:tcPr>
          <w:p>
            <w:pPr>
              <w:spacing w:after="0"/>
              <w:rPr>
                <w:sz w:val="20"/>
                <w:szCs w:val="20"/>
                <w:color w:val="auto"/>
              </w:rPr>
            </w:pPr>
            <w:r>
              <w:rPr>
                <w:rFonts w:ascii="Arial" w:cs="Arial" w:eastAsia="Arial" w:hAnsi="Arial"/>
                <w:sz w:val="10"/>
                <w:szCs w:val="10"/>
                <w:b w:val="1"/>
                <w:bCs w:val="1"/>
                <w:color w:val="auto"/>
              </w:rPr>
              <w:t>Series A-2A</w:t>
            </w:r>
          </w:p>
        </w:tc>
        <w:tc>
          <w:tcPr>
            <w:tcW w:w="6320" w:type="dxa"/>
            <w:vAlign w:val="bottom"/>
            <w:gridSpan w:val="68"/>
          </w:tcPr>
          <w:p>
            <w:pPr>
              <w:spacing w:after="0"/>
              <w:rPr>
                <w:sz w:val="8"/>
                <w:szCs w:val="8"/>
                <w:color w:val="auto"/>
              </w:rPr>
            </w:pPr>
          </w:p>
        </w:tc>
        <w:tc>
          <w:tcPr>
            <w:tcW w:w="580" w:type="dxa"/>
            <w:vAlign w:val="bottom"/>
            <w:gridSpan w:val="3"/>
            <w:vMerge w:val="restart"/>
          </w:tcPr>
          <w:p>
            <w:pPr>
              <w:jc w:val="center"/>
              <w:ind w:right="40"/>
              <w:spacing w:after="0"/>
              <w:rPr>
                <w:sz w:val="20"/>
                <w:szCs w:val="20"/>
                <w:color w:val="auto"/>
              </w:rPr>
            </w:pPr>
            <w:r>
              <w:rPr>
                <w:rFonts w:ascii="Arial" w:cs="Arial" w:eastAsia="Arial" w:hAnsi="Arial"/>
                <w:sz w:val="10"/>
                <w:szCs w:val="10"/>
                <w:b w:val="1"/>
                <w:bCs w:val="1"/>
                <w:color w:val="auto"/>
                <w:w w:val="93"/>
              </w:rPr>
              <w:t>Additional</w:t>
            </w:r>
          </w:p>
        </w:tc>
        <w:tc>
          <w:tcPr>
            <w:tcW w:w="1240" w:type="dxa"/>
            <w:vAlign w:val="bottom"/>
            <w:gridSpan w:val="11"/>
          </w:tcPr>
          <w:p>
            <w:pPr>
              <w:spacing w:after="0"/>
              <w:rPr>
                <w:sz w:val="8"/>
                <w:szCs w:val="8"/>
                <w:color w:val="auto"/>
              </w:rPr>
            </w:pPr>
          </w:p>
        </w:tc>
        <w:tc>
          <w:tcPr>
            <w:tcW w:w="62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13"/>
          </w:tcPr>
          <w:p>
            <w:pPr>
              <w:jc w:val="center"/>
              <w:ind w:right="100"/>
              <w:spacing w:after="0" w:line="100" w:lineRule="exact"/>
              <w:rPr>
                <w:sz w:val="20"/>
                <w:szCs w:val="20"/>
                <w:color w:val="auto"/>
              </w:rPr>
            </w:pPr>
            <w:r>
              <w:rPr>
                <w:rFonts w:ascii="Arial" w:cs="Arial" w:eastAsia="Arial" w:hAnsi="Arial"/>
                <w:sz w:val="10"/>
                <w:szCs w:val="10"/>
                <w:b w:val="1"/>
                <w:bCs w:val="1"/>
                <w:color w:val="auto"/>
                <w:w w:val="90"/>
              </w:rPr>
              <w:t>Redeemable Preferred</w:t>
            </w:r>
          </w:p>
        </w:tc>
        <w:tc>
          <w:tcPr>
            <w:tcW w:w="20" w:type="dxa"/>
            <w:vAlign w:val="bottom"/>
          </w:tcPr>
          <w:p>
            <w:pPr>
              <w:spacing w:after="0"/>
              <w:rPr>
                <w:sz w:val="8"/>
                <w:szCs w:val="8"/>
                <w:color w:val="auto"/>
              </w:rPr>
            </w:pPr>
          </w:p>
        </w:tc>
        <w:tc>
          <w:tcPr>
            <w:tcW w:w="1020" w:type="dxa"/>
            <w:vAlign w:val="bottom"/>
            <w:gridSpan w:val="10"/>
          </w:tcPr>
          <w:p>
            <w:pPr>
              <w:jc w:val="center"/>
              <w:ind w:right="80"/>
              <w:spacing w:after="0" w:line="100" w:lineRule="exact"/>
              <w:rPr>
                <w:sz w:val="20"/>
                <w:szCs w:val="20"/>
                <w:color w:val="auto"/>
              </w:rPr>
            </w:pPr>
            <w:r>
              <w:rPr>
                <w:rFonts w:ascii="Arial" w:cs="Arial" w:eastAsia="Arial" w:hAnsi="Arial"/>
                <w:sz w:val="10"/>
                <w:szCs w:val="10"/>
                <w:b w:val="1"/>
                <w:bCs w:val="1"/>
                <w:color w:val="auto"/>
                <w:w w:val="89"/>
              </w:rPr>
              <w:t>Series A Preferred</w:t>
            </w:r>
          </w:p>
        </w:tc>
        <w:tc>
          <w:tcPr>
            <w:tcW w:w="1040" w:type="dxa"/>
            <w:vAlign w:val="bottom"/>
            <w:gridSpan w:val="11"/>
          </w:tcPr>
          <w:p>
            <w:pPr>
              <w:jc w:val="center"/>
              <w:ind w:right="120"/>
              <w:spacing w:after="0" w:line="100" w:lineRule="exact"/>
              <w:rPr>
                <w:sz w:val="20"/>
                <w:szCs w:val="20"/>
                <w:color w:val="auto"/>
              </w:rPr>
            </w:pPr>
            <w:r>
              <w:rPr>
                <w:rFonts w:ascii="Arial" w:cs="Arial" w:eastAsia="Arial" w:hAnsi="Arial"/>
                <w:sz w:val="10"/>
                <w:szCs w:val="10"/>
                <w:b w:val="1"/>
                <w:bCs w:val="1"/>
                <w:color w:val="auto"/>
                <w:w w:val="91"/>
              </w:rPr>
              <w:t>Series A-1 Preferred</w:t>
            </w:r>
          </w:p>
        </w:tc>
        <w:tc>
          <w:tcPr>
            <w:tcW w:w="960" w:type="dxa"/>
            <w:vAlign w:val="bottom"/>
            <w:gridSpan w:val="10"/>
          </w:tcPr>
          <w:p>
            <w:pPr>
              <w:jc w:val="right"/>
              <w:ind w:right="80"/>
              <w:spacing w:after="0" w:line="100" w:lineRule="exact"/>
              <w:rPr>
                <w:sz w:val="20"/>
                <w:szCs w:val="20"/>
                <w:color w:val="auto"/>
              </w:rPr>
            </w:pPr>
            <w:r>
              <w:rPr>
                <w:rFonts w:ascii="Arial" w:cs="Arial" w:eastAsia="Arial" w:hAnsi="Arial"/>
                <w:sz w:val="10"/>
                <w:szCs w:val="10"/>
                <w:b w:val="1"/>
                <w:bCs w:val="1"/>
                <w:color w:val="auto"/>
                <w:w w:val="89"/>
              </w:rPr>
              <w:t>Series A-2 Preferred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7"/>
          </w:tcPr>
          <w:p>
            <w:pPr>
              <w:jc w:val="center"/>
              <w:ind w:right="200"/>
              <w:spacing w:after="0" w:line="100" w:lineRule="exact"/>
              <w:rPr>
                <w:sz w:val="20"/>
                <w:szCs w:val="20"/>
                <w:color w:val="auto"/>
              </w:rPr>
            </w:pPr>
            <w:r>
              <w:rPr>
                <w:rFonts w:ascii="Arial" w:cs="Arial" w:eastAsia="Arial" w:hAnsi="Arial"/>
                <w:sz w:val="10"/>
                <w:szCs w:val="10"/>
                <w:b w:val="1"/>
                <w:bCs w:val="1"/>
                <w:color w:val="auto"/>
                <w:w w:val="92"/>
              </w:rPr>
              <w:t>Series A-2A</w:t>
            </w:r>
          </w:p>
        </w:tc>
        <w:tc>
          <w:tcPr>
            <w:tcW w:w="940" w:type="dxa"/>
            <w:vAlign w:val="bottom"/>
            <w:gridSpan w:val="11"/>
          </w:tcPr>
          <w:p>
            <w:pPr>
              <w:jc w:val="center"/>
              <w:ind w:right="20"/>
              <w:spacing w:after="0" w:line="100" w:lineRule="exact"/>
              <w:rPr>
                <w:sz w:val="20"/>
                <w:szCs w:val="20"/>
                <w:color w:val="auto"/>
              </w:rPr>
            </w:pPr>
            <w:r>
              <w:rPr>
                <w:rFonts w:ascii="Arial" w:cs="Arial" w:eastAsia="Arial" w:hAnsi="Arial"/>
                <w:sz w:val="10"/>
                <w:szCs w:val="10"/>
                <w:b w:val="1"/>
                <w:bCs w:val="1"/>
                <w:color w:val="auto"/>
                <w:w w:val="91"/>
              </w:rPr>
              <w:t>Series B Preferred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10"/>
          </w:tcPr>
          <w:p>
            <w:pPr>
              <w:jc w:val="center"/>
              <w:ind w:right="440"/>
              <w:spacing w:after="0"/>
              <w:rPr>
                <w:sz w:val="20"/>
                <w:szCs w:val="20"/>
                <w:color w:val="auto"/>
              </w:rPr>
            </w:pPr>
            <w:r>
              <w:rPr>
                <w:rFonts w:ascii="Arial" w:cs="Arial" w:eastAsia="Arial" w:hAnsi="Arial"/>
                <w:sz w:val="10"/>
                <w:szCs w:val="10"/>
                <w:b w:val="1"/>
                <w:bCs w:val="1"/>
                <w:color w:val="auto"/>
                <w:w w:val="87"/>
              </w:rPr>
              <w:t>Stock</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87"/>
              </w:rPr>
              <w:t>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6"/>
          </w:tcPr>
          <w:p>
            <w:pPr>
              <w:jc w:val="center"/>
              <w:ind w:right="40"/>
              <w:spacing w:after="0"/>
              <w:rPr>
                <w:sz w:val="20"/>
                <w:szCs w:val="20"/>
                <w:color w:val="auto"/>
              </w:rPr>
            </w:pPr>
            <w:r>
              <w:rPr>
                <w:rFonts w:ascii="Arial" w:cs="Arial" w:eastAsia="Arial" w:hAnsi="Arial"/>
                <w:sz w:val="10"/>
                <w:szCs w:val="10"/>
                <w:b w:val="1"/>
                <w:bCs w:val="1"/>
                <w:color w:val="auto"/>
                <w:w w:val="87"/>
              </w:rPr>
              <w:t>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rPr>
              <w:t>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7"/>
          </w:tcPr>
          <w:p>
            <w:pPr>
              <w:jc w:val="center"/>
              <w:ind w:right="200"/>
              <w:spacing w:after="0"/>
              <w:rPr>
                <w:sz w:val="20"/>
                <w:szCs w:val="20"/>
                <w:color w:val="auto"/>
              </w:rPr>
            </w:pPr>
            <w:r>
              <w:rPr>
                <w:rFonts w:ascii="Arial" w:cs="Arial" w:eastAsia="Arial" w:hAnsi="Arial"/>
                <w:sz w:val="10"/>
                <w:szCs w:val="10"/>
                <w:b w:val="1"/>
                <w:bCs w:val="1"/>
                <w:color w:val="auto"/>
                <w:w w:val="91"/>
              </w:rPr>
              <w:t>Preferred Stock</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Stock</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9"/>
          </w:tcPr>
          <w:p>
            <w:pPr>
              <w:ind w:left="20"/>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1"/>
                <w:szCs w:val="11"/>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Paid-In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6"/>
          </w:tcPr>
          <w:p>
            <w:pPr>
              <w:ind w:left="100"/>
              <w:spacing w:after="0"/>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11"/>
                <w:szCs w:val="11"/>
                <w:color w:val="auto"/>
              </w:rPr>
            </w:pPr>
          </w:p>
        </w:tc>
        <w:tc>
          <w:tcPr>
            <w:tcW w:w="820" w:type="dxa"/>
            <w:vAlign w:val="bottom"/>
            <w:gridSpan w:val="7"/>
          </w:tcPr>
          <w:p>
            <w:pPr>
              <w:jc w:val="right"/>
              <w:ind w:right="220"/>
              <w:spacing w:after="0"/>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6"/>
          </w:tcPr>
          <w:p>
            <w:pPr>
              <w:ind w:left="10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10"/>
                <w:szCs w:val="10"/>
                <w:color w:val="auto"/>
              </w:rPr>
            </w:pPr>
          </w:p>
        </w:tc>
        <w:tc>
          <w:tcPr>
            <w:tcW w:w="560" w:type="dxa"/>
            <w:vAlign w:val="bottom"/>
            <w:tcBorders>
              <w:top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84"/>
              </w:rPr>
              <w:t>Amount</w:t>
            </w:r>
          </w:p>
        </w:tc>
        <w:tc>
          <w:tcPr>
            <w:tcW w:w="120" w:type="dxa"/>
            <w:vAlign w:val="bottom"/>
          </w:tcPr>
          <w:p>
            <w:pPr>
              <w:spacing w:after="0"/>
              <w:rPr>
                <w:sz w:val="10"/>
                <w:szCs w:val="10"/>
                <w:color w:val="auto"/>
              </w:rPr>
            </w:pPr>
          </w:p>
        </w:tc>
        <w:tc>
          <w:tcPr>
            <w:tcW w:w="4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rPr>
              <w:t>Shares</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4"/>
          </w:tcPr>
          <w:p>
            <w:pPr>
              <w:spacing w:after="0"/>
              <w:rPr>
                <w:sz w:val="20"/>
                <w:szCs w:val="20"/>
                <w:color w:val="auto"/>
              </w:rPr>
            </w:pPr>
            <w:r>
              <w:rPr>
                <w:rFonts w:ascii="Arial" w:cs="Arial" w:eastAsia="Arial" w:hAnsi="Arial"/>
                <w:sz w:val="10"/>
                <w:szCs w:val="10"/>
                <w:b w:val="1"/>
                <w:bCs w:val="1"/>
                <w:color w:val="auto"/>
                <w:w w:val="84"/>
              </w:rPr>
              <w:t>Amount</w:t>
            </w: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77"/>
              </w:rPr>
              <w:t>Shares</w:t>
            </w:r>
          </w:p>
        </w:tc>
        <w:tc>
          <w:tcPr>
            <w:tcW w:w="400" w:type="dxa"/>
            <w:vAlign w:val="bottom"/>
            <w:tcBorders>
              <w:top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10"/>
                <w:szCs w:val="10"/>
                <w:color w:val="auto"/>
              </w:rPr>
            </w:pPr>
          </w:p>
        </w:tc>
        <w:tc>
          <w:tcPr>
            <w:tcW w:w="520" w:type="dxa"/>
            <w:vAlign w:val="bottom"/>
            <w:tcBorders>
              <w:top w:val="single" w:sz="8" w:color="auto"/>
            </w:tcBorders>
            <w:gridSpan w:val="6"/>
          </w:tcPr>
          <w:p>
            <w:pPr>
              <w:jc w:val="right"/>
              <w:ind w:right="140"/>
              <w:spacing w:after="0"/>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4"/>
              </w:rPr>
              <w:t>Amount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5"/>
              </w:rPr>
              <w:t>Amount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Capital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4"/>
          </w:tcPr>
          <w:p>
            <w:pPr>
              <w:jc w:val="right"/>
              <w:ind w:right="380"/>
              <w:spacing w:after="0"/>
              <w:rPr>
                <w:sz w:val="20"/>
                <w:szCs w:val="20"/>
                <w:color w:val="auto"/>
              </w:rPr>
            </w:pPr>
            <w:r>
              <w:rPr>
                <w:rFonts w:ascii="Arial" w:cs="Arial" w:eastAsia="Arial" w:hAnsi="Arial"/>
                <w:sz w:val="10"/>
                <w:szCs w:val="10"/>
                <w:b w:val="1"/>
                <w:bCs w:val="1"/>
                <w:color w:val="auto"/>
                <w:w w:val="98"/>
              </w:rPr>
              <w:t>Deficit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440" w:type="dxa"/>
            <w:vAlign w:val="bottom"/>
            <w:gridSpan w:val="7"/>
          </w:tcPr>
          <w:p>
            <w:pPr>
              <w:spacing w:after="0"/>
              <w:rPr>
                <w:sz w:val="9"/>
                <w:szCs w:val="9"/>
                <w:color w:val="auto"/>
              </w:rPr>
            </w:pPr>
          </w:p>
        </w:tc>
        <w:tc>
          <w:tcPr>
            <w:tcW w:w="500" w:type="dxa"/>
            <w:vAlign w:val="bottom"/>
            <w:tcBorders>
              <w:top w:val="single" w:sz="8" w:color="auto"/>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520" w:type="dxa"/>
            <w:vAlign w:val="bottom"/>
            <w:tcBorders>
              <w:top w:val="single" w:sz="8" w:color="auto"/>
            </w:tcBorders>
            <w:gridSpan w:val="4"/>
          </w:tcPr>
          <w:p>
            <w:pPr>
              <w:spacing w:after="0"/>
              <w:rPr>
                <w:sz w:val="9"/>
                <w:szCs w:val="9"/>
                <w:color w:val="auto"/>
              </w:rPr>
            </w:pPr>
          </w:p>
        </w:tc>
        <w:tc>
          <w:tcPr>
            <w:tcW w:w="100" w:type="dxa"/>
            <w:vAlign w:val="bottom"/>
            <w:gridSpan w:val="3"/>
          </w:tcPr>
          <w:p>
            <w:pPr>
              <w:spacing w:after="0"/>
              <w:rPr>
                <w:sz w:val="9"/>
                <w:szCs w:val="9"/>
                <w:color w:val="auto"/>
              </w:rPr>
            </w:pPr>
          </w:p>
        </w:tc>
        <w:tc>
          <w:tcPr>
            <w:tcW w:w="480" w:type="dxa"/>
            <w:vAlign w:val="bottom"/>
            <w:tcBorders>
              <w:top w:val="single" w:sz="8" w:color="auto"/>
            </w:tcBorders>
            <w:gridSpan w:val="3"/>
          </w:tcPr>
          <w:p>
            <w:pPr>
              <w:spacing w:after="0"/>
              <w:rPr>
                <w:sz w:val="9"/>
                <w:szCs w:val="9"/>
                <w:color w:val="auto"/>
              </w:rPr>
            </w:pPr>
          </w:p>
        </w:tc>
        <w:tc>
          <w:tcPr>
            <w:tcW w:w="100" w:type="dxa"/>
            <w:vAlign w:val="bottom"/>
            <w:gridSpan w:val="3"/>
          </w:tcPr>
          <w:p>
            <w:pPr>
              <w:spacing w:after="0"/>
              <w:rPr>
                <w:sz w:val="9"/>
                <w:szCs w:val="9"/>
                <w:color w:val="auto"/>
              </w:rPr>
            </w:pPr>
          </w:p>
        </w:tc>
        <w:tc>
          <w:tcPr>
            <w:tcW w:w="340" w:type="dxa"/>
            <w:vAlign w:val="bottom"/>
            <w:tcBorders>
              <w:top w:val="single" w:sz="8" w:color="auto"/>
            </w:tcBorders>
            <w:gridSpan w:val="3"/>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340" w:type="dxa"/>
            <w:vAlign w:val="bottom"/>
            <w:tcBorders>
              <w:top w:val="single" w:sz="8" w:color="auto"/>
            </w:tcBorders>
            <w:gridSpan w:val="4"/>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top w:val="single" w:sz="8" w:color="auto"/>
            </w:tcBorders>
            <w:gridSpan w:val="3"/>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top w:val="single" w:sz="8" w:color="auto"/>
            </w:tcBorders>
            <w:gridSpan w:val="4"/>
          </w:tcPr>
          <w:p>
            <w:pPr>
              <w:spacing w:after="0"/>
              <w:rPr>
                <w:sz w:val="9"/>
                <w:szCs w:val="9"/>
                <w:color w:val="auto"/>
              </w:rPr>
            </w:pPr>
          </w:p>
        </w:tc>
        <w:tc>
          <w:tcPr>
            <w:tcW w:w="100" w:type="dxa"/>
            <w:vAlign w:val="bottom"/>
            <w:gridSpan w:val="3"/>
          </w:tcPr>
          <w:p>
            <w:pPr>
              <w:spacing w:after="0"/>
              <w:rPr>
                <w:sz w:val="9"/>
                <w:szCs w:val="9"/>
                <w:color w:val="auto"/>
              </w:rPr>
            </w:pPr>
          </w:p>
        </w:tc>
        <w:tc>
          <w:tcPr>
            <w:tcW w:w="460" w:type="dxa"/>
            <w:vAlign w:val="bottom"/>
            <w:tcBorders>
              <w:top w:val="single" w:sz="8" w:color="auto"/>
            </w:tcBorders>
            <w:gridSpan w:val="4"/>
          </w:tcPr>
          <w:p>
            <w:pPr>
              <w:spacing w:after="0"/>
              <w:rPr>
                <w:sz w:val="9"/>
                <w:szCs w:val="9"/>
                <w:color w:val="auto"/>
              </w:rPr>
            </w:pPr>
          </w:p>
        </w:tc>
        <w:tc>
          <w:tcPr>
            <w:tcW w:w="220" w:type="dxa"/>
            <w:vAlign w:val="bottom"/>
            <w:gridSpan w:val="2"/>
          </w:tcPr>
          <w:p>
            <w:pPr>
              <w:spacing w:after="0"/>
              <w:rPr>
                <w:sz w:val="9"/>
                <w:szCs w:val="9"/>
                <w:color w:val="auto"/>
              </w:rPr>
            </w:pPr>
          </w:p>
        </w:tc>
        <w:tc>
          <w:tcPr>
            <w:tcW w:w="24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top w:val="single" w:sz="8" w:color="auto"/>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34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5"/>
          </w:tcPr>
          <w:p>
            <w:pPr>
              <w:spacing w:after="0"/>
              <w:rPr>
                <w:sz w:val="9"/>
                <w:szCs w:val="9"/>
                <w:color w:val="auto"/>
              </w:rPr>
            </w:pPr>
          </w:p>
        </w:tc>
        <w:tc>
          <w:tcPr>
            <w:tcW w:w="100" w:type="dxa"/>
            <w:vAlign w:val="bottom"/>
            <w:gridSpan w:val="2"/>
          </w:tcPr>
          <w:p>
            <w:pPr>
              <w:spacing w:after="0"/>
              <w:rPr>
                <w:sz w:val="9"/>
                <w:szCs w:val="9"/>
                <w:color w:val="auto"/>
              </w:rPr>
            </w:pPr>
          </w:p>
        </w:tc>
        <w:tc>
          <w:tcPr>
            <w:tcW w:w="40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520" w:type="dxa"/>
            <w:vAlign w:val="bottom"/>
            <w:tcBorders>
              <w:top w:val="single" w:sz="8" w:color="auto"/>
            </w:tcBorders>
            <w:gridSpan w:val="2"/>
          </w:tcPr>
          <w:p>
            <w:pPr>
              <w:spacing w:after="0"/>
              <w:rPr>
                <w:sz w:val="9"/>
                <w:szCs w:val="9"/>
                <w:color w:val="auto"/>
              </w:rPr>
            </w:pPr>
          </w:p>
        </w:tc>
        <w:tc>
          <w:tcPr>
            <w:tcW w:w="140" w:type="dxa"/>
            <w:vAlign w:val="bottom"/>
            <w:gridSpan w:val="3"/>
          </w:tcPr>
          <w:p>
            <w:pPr>
              <w:spacing w:after="0"/>
              <w:rPr>
                <w:sz w:val="9"/>
                <w:szCs w:val="9"/>
                <w:color w:val="auto"/>
              </w:rPr>
            </w:pPr>
          </w:p>
        </w:tc>
        <w:tc>
          <w:tcPr>
            <w:tcW w:w="760" w:type="dxa"/>
            <w:vAlign w:val="bottom"/>
            <w:tcBorders>
              <w:top w:val="single" w:sz="8" w:color="auto"/>
            </w:tcBorders>
            <w:gridSpan w:val="5"/>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top w:val="single" w:sz="8" w:color="auto"/>
            </w:tcBorders>
            <w:gridSpan w:val="6"/>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vMerge w:val="continue"/>
          </w:tcPr>
          <w:p>
            <w:pPr>
              <w:spacing w:after="0"/>
              <w:rPr>
                <w:sz w:val="9"/>
                <w:szCs w:val="9"/>
                <w:color w:val="auto"/>
              </w:rPr>
            </w:pPr>
          </w:p>
        </w:tc>
        <w:tc>
          <w:tcPr>
            <w:tcW w:w="1420" w:type="dxa"/>
            <w:vAlign w:val="bottom"/>
            <w:gridSpan w:val="6"/>
            <w:shd w:val="clear" w:color="auto" w:fill="CCEEFF"/>
          </w:tcPr>
          <w:p>
            <w:pPr>
              <w:spacing w:after="0" w:line="107" w:lineRule="exact"/>
              <w:rPr>
                <w:sz w:val="20"/>
                <w:szCs w:val="20"/>
                <w:color w:val="auto"/>
              </w:rPr>
            </w:pPr>
            <w:r>
              <w:rPr>
                <w:rFonts w:ascii="Arial" w:cs="Arial" w:eastAsia="Arial" w:hAnsi="Arial"/>
                <w:sz w:val="10"/>
                <w:szCs w:val="10"/>
                <w:color w:val="auto"/>
              </w:rPr>
              <w:t>Balance at December 31, 2019</w:t>
            </w:r>
          </w:p>
        </w:tc>
        <w:tc>
          <w:tcPr>
            <w:tcW w:w="540" w:type="dxa"/>
            <w:vAlign w:val="bottom"/>
            <w:gridSpan w:val="7"/>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3,333,333</w:t>
            </w:r>
          </w:p>
        </w:tc>
        <w:tc>
          <w:tcPr>
            <w:tcW w:w="160" w:type="dxa"/>
            <w:vAlign w:val="bottom"/>
            <w:gridSpan w:val="3"/>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w:t>
            </w:r>
          </w:p>
        </w:tc>
        <w:tc>
          <w:tcPr>
            <w:tcW w:w="520" w:type="dxa"/>
            <w:vAlign w:val="bottom"/>
            <w:gridSpan w:val="3"/>
            <w:shd w:val="clear" w:color="auto" w:fill="CCEEFF"/>
          </w:tcPr>
          <w:p>
            <w:pPr>
              <w:jc w:val="right"/>
              <w:ind w:right="60"/>
              <w:spacing w:after="0" w:line="107" w:lineRule="exact"/>
              <w:rPr>
                <w:sz w:val="20"/>
                <w:szCs w:val="20"/>
                <w:color w:val="auto"/>
              </w:rPr>
            </w:pPr>
            <w:r>
              <w:rPr>
                <w:rFonts w:ascii="Arial" w:cs="Arial" w:eastAsia="Arial" w:hAnsi="Arial"/>
                <w:sz w:val="10"/>
                <w:szCs w:val="10"/>
                <w:color w:val="auto"/>
                <w:w w:val="98"/>
              </w:rPr>
              <w:t>9,999,999</w:t>
            </w:r>
          </w:p>
        </w:tc>
        <w:tc>
          <w:tcPr>
            <w:tcW w:w="20" w:type="dxa"/>
            <w:vAlign w:val="bottom"/>
            <w:shd w:val="clear" w:color="auto" w:fill="CCEEFF"/>
          </w:tcPr>
          <w:p>
            <w:pPr>
              <w:spacing w:after="0"/>
              <w:rPr>
                <w:sz w:val="9"/>
                <w:szCs w:val="9"/>
                <w:color w:val="auto"/>
              </w:rPr>
            </w:pPr>
          </w:p>
        </w:tc>
        <w:tc>
          <w:tcPr>
            <w:tcW w:w="520" w:type="dxa"/>
            <w:vAlign w:val="bottom"/>
            <w:gridSpan w:val="5"/>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6,615,000</w:t>
            </w:r>
          </w:p>
        </w:tc>
        <w:tc>
          <w:tcPr>
            <w:tcW w:w="20" w:type="dxa"/>
            <w:vAlign w:val="bottom"/>
            <w:shd w:val="clear" w:color="auto" w:fill="CCEEFF"/>
          </w:tcPr>
          <w:p>
            <w:pPr>
              <w:spacing w:after="0"/>
              <w:rPr>
                <w:sz w:val="9"/>
                <w:szCs w:val="9"/>
                <w:color w:val="auto"/>
              </w:rPr>
            </w:pPr>
          </w:p>
        </w:tc>
        <w:tc>
          <w:tcPr>
            <w:tcW w:w="140" w:type="dxa"/>
            <w:vAlign w:val="bottom"/>
            <w:gridSpan w:val="2"/>
            <w:shd w:val="clear" w:color="auto" w:fill="CCEEFF"/>
          </w:tcPr>
          <w:p>
            <w:pPr>
              <w:ind w:left="60"/>
              <w:spacing w:after="0" w:line="107" w:lineRule="exact"/>
              <w:rPr>
                <w:sz w:val="20"/>
                <w:szCs w:val="20"/>
                <w:color w:val="auto"/>
              </w:rPr>
            </w:pPr>
            <w:r>
              <w:rPr>
                <w:rFonts w:ascii="Arial" w:cs="Arial" w:eastAsia="Arial" w:hAnsi="Arial"/>
                <w:sz w:val="10"/>
                <w:szCs w:val="10"/>
                <w:color w:val="auto"/>
              </w:rPr>
              <w:t>$</w:t>
            </w:r>
          </w:p>
        </w:tc>
        <w:tc>
          <w:tcPr>
            <w:tcW w:w="360" w:type="dxa"/>
            <w:vAlign w:val="bottom"/>
            <w:gridSpan w:val="3"/>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662</w:t>
            </w:r>
          </w:p>
        </w:tc>
        <w:tc>
          <w:tcPr>
            <w:tcW w:w="480" w:type="dxa"/>
            <w:vAlign w:val="bottom"/>
            <w:gridSpan w:val="4"/>
            <w:shd w:val="clear" w:color="auto" w:fill="CCEEFF"/>
          </w:tcPr>
          <w:p>
            <w:pPr>
              <w:jc w:val="right"/>
              <w:spacing w:after="0" w:line="107" w:lineRule="exact"/>
              <w:rPr>
                <w:sz w:val="20"/>
                <w:szCs w:val="20"/>
                <w:color w:val="auto"/>
              </w:rPr>
            </w:pPr>
            <w:r>
              <w:rPr>
                <w:rFonts w:ascii="Arial" w:cs="Arial" w:eastAsia="Arial" w:hAnsi="Arial"/>
                <w:sz w:val="10"/>
                <w:szCs w:val="10"/>
                <w:color w:val="auto"/>
              </w:rPr>
              <w:t>2,525,800</w:t>
            </w:r>
          </w:p>
        </w:tc>
        <w:tc>
          <w:tcPr>
            <w:tcW w:w="8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20"/>
              <w:spacing w:after="0" w:line="107"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300" w:type="dxa"/>
            <w:vAlign w:val="bottom"/>
            <w:tcBorders>
              <w:right w:val="single" w:sz="8" w:color="CCEEFF"/>
            </w:tcBorders>
            <w:gridSpan w:val="3"/>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w w:val="95"/>
              </w:rPr>
              <w:t>253</w:t>
            </w:r>
          </w:p>
        </w:tc>
        <w:tc>
          <w:tcPr>
            <w:tcW w:w="440" w:type="dxa"/>
            <w:vAlign w:val="bottom"/>
            <w:gridSpan w:val="3"/>
            <w:shd w:val="clear" w:color="auto" w:fill="CCEEFF"/>
          </w:tcPr>
          <w:p>
            <w:pPr>
              <w:jc w:val="right"/>
              <w:spacing w:after="0" w:line="107" w:lineRule="exact"/>
              <w:rPr>
                <w:sz w:val="20"/>
                <w:szCs w:val="20"/>
                <w:color w:val="auto"/>
              </w:rPr>
            </w:pPr>
            <w:r>
              <w:rPr>
                <w:rFonts w:ascii="Arial" w:cs="Arial" w:eastAsia="Arial" w:hAnsi="Arial"/>
                <w:sz w:val="10"/>
                <w:szCs w:val="10"/>
                <w:color w:val="auto"/>
                <w:w w:val="94"/>
              </w:rPr>
              <w:t>4,039,963</w:t>
            </w:r>
          </w:p>
        </w:tc>
        <w:tc>
          <w:tcPr>
            <w:tcW w:w="260" w:type="dxa"/>
            <w:vAlign w:val="bottom"/>
            <w:gridSpan w:val="3"/>
            <w:shd w:val="clear" w:color="auto" w:fill="CCEEFF"/>
          </w:tcPr>
          <w:p>
            <w:pPr>
              <w:ind w:left="120"/>
              <w:spacing w:after="0" w:line="107" w:lineRule="exact"/>
              <w:rPr>
                <w:sz w:val="20"/>
                <w:szCs w:val="20"/>
                <w:color w:val="auto"/>
              </w:rPr>
            </w:pPr>
            <w:r>
              <w:rPr>
                <w:rFonts w:ascii="Arial" w:cs="Arial" w:eastAsia="Arial" w:hAnsi="Arial"/>
                <w:sz w:val="10"/>
                <w:szCs w:val="10"/>
                <w:color w:val="auto"/>
              </w:rPr>
              <w:t>$</w:t>
            </w:r>
          </w:p>
        </w:tc>
        <w:tc>
          <w:tcPr>
            <w:tcW w:w="220" w:type="dxa"/>
            <w:vAlign w:val="bottom"/>
            <w:gridSpan w:val="3"/>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404</w:t>
            </w:r>
          </w:p>
        </w:tc>
        <w:tc>
          <w:tcPr>
            <w:tcW w:w="40" w:type="dxa"/>
            <w:vAlign w:val="bottom"/>
            <w:shd w:val="clear" w:color="auto" w:fill="CCEEFF"/>
          </w:tcPr>
          <w:p>
            <w:pPr>
              <w:spacing w:after="0"/>
              <w:rPr>
                <w:sz w:val="9"/>
                <w:szCs w:val="9"/>
                <w:color w:val="auto"/>
              </w:rPr>
            </w:pPr>
          </w:p>
        </w:tc>
        <w:tc>
          <w:tcPr>
            <w:tcW w:w="560" w:type="dxa"/>
            <w:vAlign w:val="bottom"/>
            <w:gridSpan w:val="6"/>
            <w:shd w:val="clear" w:color="auto" w:fill="CCEEFF"/>
          </w:tcPr>
          <w:p>
            <w:pPr>
              <w:jc w:val="right"/>
              <w:ind w:right="60"/>
              <w:spacing w:after="0" w:line="107" w:lineRule="exact"/>
              <w:rPr>
                <w:sz w:val="20"/>
                <w:szCs w:val="20"/>
                <w:color w:val="auto"/>
              </w:rPr>
            </w:pPr>
            <w:r>
              <w:rPr>
                <w:rFonts w:ascii="Arial" w:cs="Arial" w:eastAsia="Arial" w:hAnsi="Arial"/>
                <w:sz w:val="10"/>
                <w:szCs w:val="10"/>
                <w:color w:val="auto"/>
              </w:rPr>
              <w:t>-</w:t>
            </w:r>
          </w:p>
        </w:tc>
        <w:tc>
          <w:tcPr>
            <w:tcW w:w="160" w:type="dxa"/>
            <w:vAlign w:val="bottom"/>
            <w:tcBorders>
              <w:right w:val="single" w:sz="8" w:color="CCEEFF"/>
            </w:tcBorders>
            <w:shd w:val="clear" w:color="auto" w:fill="CCEEFF"/>
          </w:tcPr>
          <w:p>
            <w:pPr>
              <w:ind w:left="60"/>
              <w:spacing w:after="0" w:line="107" w:lineRule="exact"/>
              <w:rPr>
                <w:sz w:val="20"/>
                <w:szCs w:val="20"/>
                <w:color w:val="auto"/>
              </w:rPr>
            </w:pPr>
            <w:r>
              <w:rPr>
                <w:rFonts w:ascii="Arial" w:cs="Arial" w:eastAsia="Arial" w:hAnsi="Arial"/>
                <w:sz w:val="10"/>
                <w:szCs w:val="10"/>
                <w:color w:val="auto"/>
              </w:rPr>
              <w:t>$</w:t>
            </w:r>
          </w:p>
        </w:tc>
        <w:tc>
          <w:tcPr>
            <w:tcW w:w="340" w:type="dxa"/>
            <w:vAlign w:val="bottom"/>
            <w:gridSpan w:val="3"/>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460" w:type="dxa"/>
            <w:vAlign w:val="bottom"/>
            <w:gridSpan w:val="5"/>
            <w:shd w:val="clear" w:color="auto" w:fill="CCEEFF"/>
          </w:tcPr>
          <w:p>
            <w:pPr>
              <w:jc w:val="right"/>
              <w:spacing w:after="0" w:line="107" w:lineRule="exact"/>
              <w:rPr>
                <w:sz w:val="20"/>
                <w:szCs w:val="20"/>
                <w:color w:val="auto"/>
              </w:rPr>
            </w:pPr>
            <w:r>
              <w:rPr>
                <w:rFonts w:ascii="Arial" w:cs="Arial" w:eastAsia="Arial" w:hAnsi="Arial"/>
                <w:sz w:val="10"/>
                <w:szCs w:val="10"/>
                <w:color w:val="auto"/>
                <w:w w:val="98"/>
              </w:rPr>
              <w:t>1,236,786</w:t>
            </w:r>
          </w:p>
        </w:tc>
        <w:tc>
          <w:tcPr>
            <w:tcW w:w="60" w:type="dxa"/>
            <w:vAlign w:val="bottom"/>
            <w:shd w:val="clear" w:color="auto" w:fill="CCEEFF"/>
          </w:tcPr>
          <w:p>
            <w:pPr>
              <w:spacing w:after="0"/>
              <w:rPr>
                <w:sz w:val="9"/>
                <w:szCs w:val="9"/>
                <w:color w:val="auto"/>
              </w:rPr>
            </w:pPr>
          </w:p>
        </w:tc>
        <w:tc>
          <w:tcPr>
            <w:tcW w:w="180" w:type="dxa"/>
            <w:vAlign w:val="bottom"/>
            <w:gridSpan w:val="2"/>
            <w:shd w:val="clear" w:color="auto" w:fill="CCEEFF"/>
          </w:tcPr>
          <w:p>
            <w:pPr>
              <w:ind w:left="60"/>
              <w:spacing w:after="0" w:line="107" w:lineRule="exact"/>
              <w:rPr>
                <w:sz w:val="20"/>
                <w:szCs w:val="20"/>
                <w:color w:val="auto"/>
              </w:rPr>
            </w:pPr>
            <w:r>
              <w:rPr>
                <w:rFonts w:ascii="Arial" w:cs="Arial" w:eastAsia="Arial" w:hAnsi="Arial"/>
                <w:sz w:val="10"/>
                <w:szCs w:val="10"/>
                <w:color w:val="auto"/>
              </w:rPr>
              <w:t>$</w:t>
            </w:r>
          </w:p>
        </w:tc>
        <w:tc>
          <w:tcPr>
            <w:tcW w:w="240" w:type="dxa"/>
            <w:vAlign w:val="bottom"/>
            <w:gridSpan w:val="3"/>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124</w:t>
            </w:r>
          </w:p>
        </w:tc>
        <w:tc>
          <w:tcPr>
            <w:tcW w:w="640" w:type="dxa"/>
            <w:vAlign w:val="bottom"/>
            <w:gridSpan w:val="7"/>
            <w:shd w:val="clear" w:color="auto" w:fill="CCEEFF"/>
          </w:tcPr>
          <w:p>
            <w:pPr>
              <w:jc w:val="right"/>
              <w:ind w:right="40"/>
              <w:spacing w:after="0" w:line="107" w:lineRule="exact"/>
              <w:rPr>
                <w:sz w:val="20"/>
                <w:szCs w:val="20"/>
                <w:color w:val="auto"/>
              </w:rPr>
            </w:pPr>
            <w:r>
              <w:rPr>
                <w:rFonts w:ascii="Arial" w:cs="Arial" w:eastAsia="Arial" w:hAnsi="Arial"/>
                <w:sz w:val="10"/>
                <w:szCs w:val="10"/>
                <w:color w:val="auto"/>
              </w:rPr>
              <w:t>35,216,000</w:t>
            </w:r>
          </w:p>
        </w:tc>
        <w:tc>
          <w:tcPr>
            <w:tcW w:w="14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340" w:type="dxa"/>
            <w:vAlign w:val="bottom"/>
            <w:gridSpan w:val="3"/>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3,522</w:t>
            </w:r>
          </w:p>
        </w:tc>
        <w:tc>
          <w:tcPr>
            <w:tcW w:w="660" w:type="dxa"/>
            <w:vAlign w:val="bottom"/>
            <w:gridSpan w:val="4"/>
            <w:shd w:val="clear" w:color="auto" w:fill="CCEEFF"/>
          </w:tcPr>
          <w:p>
            <w:pPr>
              <w:jc w:val="right"/>
              <w:ind w:right="60"/>
              <w:spacing w:after="0" w:line="107" w:lineRule="exact"/>
              <w:rPr>
                <w:sz w:val="20"/>
                <w:szCs w:val="20"/>
                <w:color w:val="auto"/>
              </w:rPr>
            </w:pPr>
            <w:r>
              <w:rPr>
                <w:rFonts w:ascii="Arial" w:cs="Arial" w:eastAsia="Arial" w:hAnsi="Arial"/>
                <w:sz w:val="10"/>
                <w:szCs w:val="10"/>
                <w:color w:val="auto"/>
                <w:w w:val="99"/>
              </w:rPr>
              <w:t>$ 29,791,662</w:t>
            </w:r>
          </w:p>
        </w:tc>
        <w:tc>
          <w:tcPr>
            <w:tcW w:w="180" w:type="dxa"/>
            <w:vAlign w:val="bottom"/>
            <w:gridSpan w:val="3"/>
            <w:shd w:val="clear" w:color="auto" w:fill="CCEEFF"/>
          </w:tcPr>
          <w:p>
            <w:pPr>
              <w:jc w:val="right"/>
              <w:ind w:right="10"/>
              <w:spacing w:after="0" w:line="107" w:lineRule="exact"/>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700" w:type="dxa"/>
            <w:vAlign w:val="bottom"/>
            <w:gridSpan w:val="4"/>
            <w:shd w:val="clear" w:color="auto" w:fill="CCEEFF"/>
          </w:tcPr>
          <w:p>
            <w:pPr>
              <w:jc w:val="right"/>
              <w:ind w:right="100"/>
              <w:spacing w:after="0" w:line="107" w:lineRule="exact"/>
              <w:rPr>
                <w:sz w:val="20"/>
                <w:szCs w:val="20"/>
                <w:color w:val="auto"/>
              </w:rPr>
            </w:pPr>
            <w:r>
              <w:rPr>
                <w:rFonts w:ascii="Arial" w:cs="Arial" w:eastAsia="Arial" w:hAnsi="Arial"/>
                <w:sz w:val="10"/>
                <w:szCs w:val="10"/>
                <w:b w:val="1"/>
                <w:bCs w:val="1"/>
                <w:color w:val="auto"/>
              </w:rPr>
              <w:t>(32,102,193)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w w:val="89"/>
              </w:rPr>
              <w:t>(2,305,566)</w:t>
            </w:r>
          </w:p>
        </w:tc>
        <w:tc>
          <w:tcPr>
            <w:tcW w:w="100" w:type="dxa"/>
            <w:vAlign w:val="bottom"/>
            <w:tcBorders>
              <w:left w:val="single" w:sz="8" w:color="CCEEFF"/>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360" w:type="dxa"/>
            <w:vAlign w:val="bottom"/>
            <w:gridSpan w:val="106"/>
          </w:tcPr>
          <w:p>
            <w:pPr>
              <w:spacing w:after="0"/>
              <w:rPr>
                <w:sz w:val="20"/>
                <w:szCs w:val="20"/>
                <w:color w:val="auto"/>
              </w:rPr>
            </w:pPr>
            <w:r>
              <w:rPr>
                <w:rFonts w:ascii="Arial" w:cs="Arial" w:eastAsia="Arial" w:hAnsi="Arial"/>
                <w:sz w:val="10"/>
                <w:szCs w:val="10"/>
                <w:color w:val="auto"/>
              </w:rPr>
              <w:t>Issuance of preferred stock in</w:t>
            </w:r>
          </w:p>
        </w:tc>
        <w:tc>
          <w:tcPr>
            <w:tcW w:w="0" w:type="dxa"/>
            <w:vAlign w:val="bottom"/>
          </w:tcPr>
          <w:p>
            <w:pPr>
              <w:spacing w:after="0"/>
              <w:rPr>
                <w:sz w:val="1"/>
                <w:szCs w:val="1"/>
                <w:color w:val="auto"/>
              </w:rPr>
            </w:pPr>
          </w:p>
        </w:tc>
      </w:tr>
      <w:tr>
        <w:trPr>
          <w:trHeight w:val="107"/>
        </w:trPr>
        <w:tc>
          <w:tcPr>
            <w:tcW w:w="11360" w:type="dxa"/>
            <w:vAlign w:val="bottom"/>
            <w:gridSpan w:val="106"/>
          </w:tcPr>
          <w:p>
            <w:pPr>
              <w:spacing w:after="0" w:line="107" w:lineRule="exact"/>
              <w:rPr>
                <w:sz w:val="20"/>
                <w:szCs w:val="20"/>
                <w:color w:val="auto"/>
              </w:rPr>
            </w:pPr>
            <w:r>
              <w:rPr>
                <w:rFonts w:ascii="Arial" w:cs="Arial" w:eastAsia="Arial" w:hAnsi="Arial"/>
                <w:sz w:val="10"/>
                <w:szCs w:val="10"/>
                <w:color w:val="auto"/>
                <w:w w:val="98"/>
              </w:rPr>
              <w:t>private offerings, net of issuance</w:t>
            </w:r>
          </w:p>
        </w:tc>
        <w:tc>
          <w:tcPr>
            <w:tcW w:w="0" w:type="dxa"/>
            <w:vAlign w:val="bottom"/>
          </w:tcPr>
          <w:p>
            <w:pPr>
              <w:spacing w:after="0"/>
              <w:rPr>
                <w:sz w:val="1"/>
                <w:szCs w:val="1"/>
                <w:color w:val="auto"/>
              </w:rPr>
            </w:pPr>
          </w:p>
        </w:tc>
      </w:tr>
      <w:tr>
        <w:trPr>
          <w:trHeight w:val="119"/>
        </w:trPr>
        <w:tc>
          <w:tcPr>
            <w:tcW w:w="1680" w:type="dxa"/>
            <w:vAlign w:val="bottom"/>
            <w:gridSpan w:val="10"/>
          </w:tcPr>
          <w:p>
            <w:pPr>
              <w:spacing w:after="0"/>
              <w:rPr>
                <w:sz w:val="20"/>
                <w:szCs w:val="20"/>
                <w:color w:val="auto"/>
              </w:rPr>
            </w:pPr>
            <w:r>
              <w:rPr>
                <w:rFonts w:ascii="Arial" w:cs="Arial" w:eastAsia="Arial" w:hAnsi="Arial"/>
                <w:sz w:val="10"/>
                <w:szCs w:val="10"/>
                <w:color w:val="auto"/>
                <w:w w:val="89"/>
              </w:rPr>
              <w:t>costs of $87,949</w:t>
            </w:r>
          </w:p>
        </w:tc>
        <w:tc>
          <w:tcPr>
            <w:tcW w:w="460" w:type="dxa"/>
            <w:vAlign w:val="bottom"/>
            <w:gridSpan w:val="7"/>
          </w:tcPr>
          <w:p>
            <w:pPr>
              <w:jc w:val="right"/>
              <w:ind w:right="180"/>
              <w:spacing w:after="0"/>
              <w:rPr>
                <w:sz w:val="20"/>
                <w:szCs w:val="20"/>
                <w:color w:val="auto"/>
              </w:rPr>
            </w:pPr>
            <w:r>
              <w:rPr>
                <w:rFonts w:ascii="Arial" w:cs="Arial" w:eastAsia="Arial" w:hAnsi="Arial"/>
                <w:sz w:val="10"/>
                <w:szCs w:val="10"/>
                <w:color w:val="auto"/>
              </w:rPr>
              <w:t>-</w:t>
            </w:r>
          </w:p>
        </w:tc>
        <w:tc>
          <w:tcPr>
            <w:tcW w:w="900" w:type="dxa"/>
            <w:vAlign w:val="bottom"/>
            <w:gridSpan w:val="7"/>
          </w:tcPr>
          <w:p>
            <w:pPr>
              <w:jc w:val="right"/>
              <w:ind w:right="440"/>
              <w:spacing w:after="0"/>
              <w:rPr>
                <w:sz w:val="20"/>
                <w:szCs w:val="20"/>
                <w:color w:val="auto"/>
              </w:rPr>
            </w:pPr>
            <w:r>
              <w:rPr>
                <w:rFonts w:ascii="Arial" w:cs="Arial" w:eastAsia="Arial" w:hAnsi="Arial"/>
                <w:sz w:val="10"/>
                <w:szCs w:val="10"/>
                <w:color w:val="auto"/>
              </w:rPr>
              <w:t>-</w:t>
            </w:r>
          </w:p>
        </w:tc>
        <w:tc>
          <w:tcPr>
            <w:tcW w:w="320" w:type="dxa"/>
            <w:vAlign w:val="bottom"/>
            <w:gridSpan w:val="5"/>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gridSpan w:val="4"/>
          </w:tcPr>
          <w:p>
            <w:pPr>
              <w:jc w:val="right"/>
              <w:ind w:right="250"/>
              <w:spacing w:after="0"/>
              <w:rPr>
                <w:sz w:val="20"/>
                <w:szCs w:val="20"/>
                <w:color w:val="auto"/>
              </w:rPr>
            </w:pPr>
            <w:r>
              <w:rPr>
                <w:rFonts w:ascii="Arial" w:cs="Arial" w:eastAsia="Arial" w:hAnsi="Arial"/>
                <w:sz w:val="10"/>
                <w:szCs w:val="10"/>
                <w:color w:val="auto"/>
              </w:rPr>
              <w:t>-</w:t>
            </w:r>
          </w:p>
        </w:tc>
        <w:tc>
          <w:tcPr>
            <w:tcW w:w="540" w:type="dxa"/>
            <w:vAlign w:val="bottom"/>
            <w:gridSpan w:val="7"/>
          </w:tcPr>
          <w:p>
            <w:pPr>
              <w:jc w:val="right"/>
              <w:ind w:right="260"/>
              <w:spacing w:after="0"/>
              <w:rPr>
                <w:sz w:val="20"/>
                <w:szCs w:val="20"/>
                <w:color w:val="auto"/>
              </w:rPr>
            </w:pPr>
            <w:r>
              <w:rPr>
                <w:rFonts w:ascii="Arial" w:cs="Arial" w:eastAsia="Arial" w:hAnsi="Arial"/>
                <w:sz w:val="10"/>
                <w:szCs w:val="10"/>
                <w:color w:val="auto"/>
              </w:rPr>
              <w:t>-</w:t>
            </w:r>
          </w:p>
        </w:tc>
        <w:tc>
          <w:tcPr>
            <w:tcW w:w="3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6"/>
          </w:tcPr>
          <w:p>
            <w:pPr>
              <w:jc w:val="right"/>
              <w:ind w:right="260"/>
              <w:spacing w:after="0"/>
              <w:rPr>
                <w:sz w:val="20"/>
                <w:szCs w:val="20"/>
                <w:color w:val="auto"/>
              </w:rPr>
            </w:pPr>
            <w:r>
              <w:rPr>
                <w:rFonts w:ascii="Arial" w:cs="Arial" w:eastAsia="Arial" w:hAnsi="Arial"/>
                <w:sz w:val="10"/>
                <w:szCs w:val="10"/>
                <w:color w:val="auto"/>
              </w:rPr>
              <w:t>-</w:t>
            </w:r>
          </w:p>
        </w:tc>
        <w:tc>
          <w:tcPr>
            <w:tcW w:w="260" w:type="dxa"/>
            <w:vAlign w:val="bottom"/>
            <w:gridSpan w:val="4"/>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7"/>
          </w:tcPr>
          <w:p>
            <w:pPr>
              <w:jc w:val="right"/>
              <w:ind w:right="170"/>
              <w:spacing w:after="0"/>
              <w:rPr>
                <w:sz w:val="20"/>
                <w:szCs w:val="20"/>
                <w:color w:val="auto"/>
              </w:rPr>
            </w:pPr>
            <w:r>
              <w:rPr>
                <w:rFonts w:ascii="Arial" w:cs="Arial" w:eastAsia="Arial" w:hAnsi="Arial"/>
                <w:sz w:val="10"/>
                <w:szCs w:val="10"/>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8"/>
          </w:tcPr>
          <w:p>
            <w:pPr>
              <w:jc w:val="right"/>
              <w:ind w:right="240"/>
              <w:spacing w:after="0"/>
              <w:rPr>
                <w:sz w:val="20"/>
                <w:szCs w:val="20"/>
                <w:color w:val="auto"/>
              </w:rPr>
            </w:pPr>
            <w:r>
              <w:rPr>
                <w:rFonts w:ascii="Arial" w:cs="Arial" w:eastAsia="Arial" w:hAnsi="Arial"/>
                <w:sz w:val="10"/>
                <w:szCs w:val="10"/>
                <w:color w:val="auto"/>
                <w:w w:val="98"/>
              </w:rPr>
              <w:t>2,853,754</w:t>
            </w:r>
          </w:p>
        </w:tc>
        <w:tc>
          <w:tcPr>
            <w:tcW w:w="480" w:type="dxa"/>
            <w:vAlign w:val="bottom"/>
            <w:gridSpan w:val="6"/>
          </w:tcPr>
          <w:p>
            <w:pPr>
              <w:jc w:val="right"/>
              <w:ind w:right="210"/>
              <w:spacing w:after="0"/>
              <w:rPr>
                <w:sz w:val="20"/>
                <w:szCs w:val="20"/>
                <w:color w:val="auto"/>
              </w:rPr>
            </w:pPr>
            <w:r>
              <w:rPr>
                <w:rFonts w:ascii="Arial" w:cs="Arial" w:eastAsia="Arial" w:hAnsi="Arial"/>
                <w:sz w:val="10"/>
                <w:szCs w:val="10"/>
                <w:color w:val="auto"/>
              </w:rPr>
              <w:t>285</w:t>
            </w:r>
          </w:p>
        </w:tc>
        <w:tc>
          <w:tcPr>
            <w:tcW w:w="540" w:type="dxa"/>
            <w:vAlign w:val="bottom"/>
            <w:gridSpan w:val="6"/>
          </w:tcPr>
          <w:p>
            <w:pPr>
              <w:jc w:val="right"/>
              <w:ind w:right="130"/>
              <w:spacing w:after="0"/>
              <w:rPr>
                <w:sz w:val="20"/>
                <w:szCs w:val="20"/>
                <w:color w:val="auto"/>
              </w:rPr>
            </w:pPr>
            <w:r>
              <w:rPr>
                <w:rFonts w:ascii="Arial" w:cs="Arial" w:eastAsia="Arial" w:hAnsi="Arial"/>
                <w:sz w:val="10"/>
                <w:szCs w:val="10"/>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0"/>
                <w:szCs w:val="10"/>
                <w:color w:val="auto"/>
              </w:rPr>
              <w:t>-</w:t>
            </w:r>
          </w:p>
        </w:tc>
        <w:tc>
          <w:tcPr>
            <w:tcW w:w="940" w:type="dxa"/>
            <w:vAlign w:val="bottom"/>
            <w:gridSpan w:val="8"/>
          </w:tcPr>
          <w:p>
            <w:pPr>
              <w:jc w:val="right"/>
              <w:ind w:right="340"/>
              <w:spacing w:after="0"/>
              <w:rPr>
                <w:sz w:val="20"/>
                <w:szCs w:val="20"/>
                <w:color w:val="auto"/>
              </w:rPr>
            </w:pPr>
            <w:r>
              <w:rPr>
                <w:rFonts w:ascii="Arial" w:cs="Arial" w:eastAsia="Arial" w:hAnsi="Arial"/>
                <w:sz w:val="10"/>
                <w:szCs w:val="10"/>
                <w:color w:val="auto"/>
              </w:rPr>
              <w:t>9,899,920</w:t>
            </w:r>
          </w:p>
        </w:tc>
        <w:tc>
          <w:tcPr>
            <w:tcW w:w="1000" w:type="dxa"/>
            <w:vAlign w:val="bottom"/>
            <w:gridSpan w:val="8"/>
          </w:tcPr>
          <w:p>
            <w:pPr>
              <w:jc w:val="right"/>
              <w:ind w:right="390"/>
              <w:spacing w:after="0"/>
              <w:rPr>
                <w:sz w:val="20"/>
                <w:szCs w:val="20"/>
                <w:color w:val="auto"/>
              </w:rPr>
            </w:pPr>
            <w:r>
              <w:rPr>
                <w:rFonts w:ascii="Arial" w:cs="Arial" w:eastAsia="Arial" w:hAnsi="Arial"/>
                <w:sz w:val="10"/>
                <w:szCs w:val="10"/>
                <w:color w:val="auto"/>
              </w:rPr>
              <w:t>-</w:t>
            </w:r>
          </w:p>
        </w:tc>
        <w:tc>
          <w:tcPr>
            <w:tcW w:w="580" w:type="dxa"/>
            <w:vAlign w:val="bottom"/>
            <w:gridSpan w:val="4"/>
          </w:tcPr>
          <w:p>
            <w:pPr>
              <w:jc w:val="right"/>
              <w:ind w:right="140"/>
              <w:spacing w:after="0"/>
              <w:rPr>
                <w:sz w:val="20"/>
                <w:szCs w:val="20"/>
                <w:color w:val="auto"/>
              </w:rPr>
            </w:pPr>
            <w:r>
              <w:rPr>
                <w:rFonts w:ascii="Arial" w:cs="Arial" w:eastAsia="Arial" w:hAnsi="Arial"/>
                <w:sz w:val="10"/>
                <w:szCs w:val="10"/>
                <w:color w:val="auto"/>
                <w:w w:val="94"/>
              </w:rPr>
              <w:t>9,900,205</w:t>
            </w:r>
          </w:p>
        </w:tc>
        <w:tc>
          <w:tcPr>
            <w:tcW w:w="0" w:type="dxa"/>
            <w:vAlign w:val="bottom"/>
          </w:tcPr>
          <w:p>
            <w:pPr>
              <w:spacing w:after="0"/>
              <w:rPr>
                <w:sz w:val="1"/>
                <w:szCs w:val="1"/>
                <w:color w:val="auto"/>
              </w:rPr>
            </w:pPr>
          </w:p>
        </w:tc>
      </w:tr>
      <w:tr>
        <w:trPr>
          <w:trHeight w:val="107"/>
        </w:trPr>
        <w:tc>
          <w:tcPr>
            <w:tcW w:w="1680" w:type="dxa"/>
            <w:vAlign w:val="bottom"/>
            <w:gridSpan w:val="10"/>
          </w:tcPr>
          <w:p>
            <w:pPr>
              <w:spacing w:after="0"/>
              <w:rPr>
                <w:sz w:val="20"/>
                <w:szCs w:val="20"/>
                <w:color w:val="auto"/>
              </w:rPr>
            </w:pPr>
            <w:r>
              <w:rPr>
                <w:rFonts w:ascii="Arial" w:cs="Arial" w:eastAsia="Arial" w:hAnsi="Arial"/>
                <w:sz w:val="10"/>
                <w:szCs w:val="10"/>
                <w:color w:val="auto"/>
              </w:rPr>
              <w:t>Stock-based compensation</w:t>
            </w:r>
          </w:p>
        </w:tc>
        <w:tc>
          <w:tcPr>
            <w:tcW w:w="460" w:type="dxa"/>
            <w:vAlign w:val="bottom"/>
            <w:gridSpan w:val="7"/>
            <w:shd w:val="clear" w:color="auto" w:fill="CCEEFF"/>
          </w:tcPr>
          <w:p>
            <w:pPr>
              <w:jc w:val="right"/>
              <w:ind w:right="180"/>
              <w:spacing w:after="0" w:line="107" w:lineRule="exact"/>
              <w:rPr>
                <w:sz w:val="20"/>
                <w:szCs w:val="20"/>
                <w:color w:val="auto"/>
              </w:rPr>
            </w:pPr>
            <w:r>
              <w:rPr>
                <w:rFonts w:ascii="Arial" w:cs="Arial" w:eastAsia="Arial" w:hAnsi="Arial"/>
                <w:sz w:val="10"/>
                <w:szCs w:val="10"/>
                <w:color w:val="auto"/>
              </w:rPr>
              <w:t>-</w:t>
            </w:r>
          </w:p>
        </w:tc>
        <w:tc>
          <w:tcPr>
            <w:tcW w:w="900" w:type="dxa"/>
            <w:vAlign w:val="bottom"/>
            <w:gridSpan w:val="7"/>
            <w:shd w:val="clear" w:color="auto" w:fill="CCEEFF"/>
          </w:tcPr>
          <w:p>
            <w:pPr>
              <w:jc w:val="right"/>
              <w:ind w:right="440"/>
              <w:spacing w:after="0" w:line="107" w:lineRule="exact"/>
              <w:rPr>
                <w:sz w:val="20"/>
                <w:szCs w:val="20"/>
                <w:color w:val="auto"/>
              </w:rPr>
            </w:pPr>
            <w:r>
              <w:rPr>
                <w:rFonts w:ascii="Arial" w:cs="Arial" w:eastAsia="Arial" w:hAnsi="Arial"/>
                <w:sz w:val="10"/>
                <w:szCs w:val="10"/>
                <w:color w:val="auto"/>
              </w:rPr>
              <w:t>-</w:t>
            </w:r>
          </w:p>
        </w:tc>
        <w:tc>
          <w:tcPr>
            <w:tcW w:w="320" w:type="dxa"/>
            <w:vAlign w:val="bottom"/>
            <w:gridSpan w:val="5"/>
            <w:shd w:val="clear" w:color="auto" w:fill="CCEEFF"/>
          </w:tcPr>
          <w:p>
            <w:pPr>
              <w:jc w:val="right"/>
              <w:ind w:right="18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4"/>
            <w:shd w:val="clear" w:color="auto" w:fill="CCEEFF"/>
          </w:tcPr>
          <w:p>
            <w:pPr>
              <w:jc w:val="right"/>
              <w:ind w:right="25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7"/>
            <w:shd w:val="clear" w:color="auto" w:fill="CCEEFF"/>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300" w:type="dxa"/>
            <w:vAlign w:val="bottom"/>
            <w:tcBorders>
              <w:right w:val="single" w:sz="8" w:color="CCEEFF"/>
            </w:tcBorders>
            <w:gridSpan w:val="3"/>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700" w:type="dxa"/>
            <w:vAlign w:val="bottom"/>
            <w:gridSpan w:val="6"/>
            <w:shd w:val="clear" w:color="auto" w:fill="CCEEFF"/>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260" w:type="dxa"/>
            <w:vAlign w:val="bottom"/>
            <w:gridSpan w:val="4"/>
            <w:shd w:val="clear" w:color="auto" w:fill="CCEEFF"/>
          </w:tcPr>
          <w:p>
            <w:pPr>
              <w:jc w:val="right"/>
              <w:ind w:right="60"/>
              <w:spacing w:after="0" w:line="107" w:lineRule="exact"/>
              <w:rPr>
                <w:sz w:val="20"/>
                <w:szCs w:val="20"/>
                <w:color w:val="auto"/>
              </w:rPr>
            </w:pPr>
            <w:r>
              <w:rPr>
                <w:rFonts w:ascii="Arial" w:cs="Arial" w:eastAsia="Arial" w:hAnsi="Arial"/>
                <w:sz w:val="10"/>
                <w:szCs w:val="10"/>
                <w:color w:val="auto"/>
              </w:rPr>
              <w:t>-</w:t>
            </w:r>
          </w:p>
        </w:tc>
        <w:tc>
          <w:tcPr>
            <w:tcW w:w="720" w:type="dxa"/>
            <w:vAlign w:val="bottom"/>
            <w:tcBorders>
              <w:right w:val="single" w:sz="8" w:color="CCEEFF"/>
            </w:tcBorders>
            <w:gridSpan w:val="7"/>
            <w:shd w:val="clear" w:color="auto" w:fill="CCEEFF"/>
          </w:tcPr>
          <w:p>
            <w:pPr>
              <w:jc w:val="right"/>
              <w:ind w:right="170"/>
              <w:spacing w:after="0" w:line="107" w:lineRule="exact"/>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240"/>
              <w:spacing w:after="0" w:line="107" w:lineRule="exact"/>
              <w:rPr>
                <w:sz w:val="20"/>
                <w:szCs w:val="20"/>
                <w:color w:val="auto"/>
              </w:rPr>
            </w:pPr>
            <w:r>
              <w:rPr>
                <w:rFonts w:ascii="Arial" w:cs="Arial" w:eastAsia="Arial" w:hAnsi="Arial"/>
                <w:sz w:val="10"/>
                <w:szCs w:val="10"/>
                <w:color w:val="auto"/>
              </w:rPr>
              <w:t>-</w:t>
            </w:r>
          </w:p>
        </w:tc>
        <w:tc>
          <w:tcPr>
            <w:tcW w:w="480" w:type="dxa"/>
            <w:vAlign w:val="bottom"/>
            <w:gridSpan w:val="6"/>
            <w:shd w:val="clear" w:color="auto" w:fill="CCEEFF"/>
          </w:tcPr>
          <w:p>
            <w:pPr>
              <w:jc w:val="right"/>
              <w:ind w:right="21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130"/>
              <w:spacing w:after="0" w:line="107" w:lineRule="exact"/>
              <w:rPr>
                <w:sz w:val="20"/>
                <w:szCs w:val="20"/>
                <w:color w:val="auto"/>
              </w:rPr>
            </w:pPr>
            <w:r>
              <w:rPr>
                <w:rFonts w:ascii="Arial" w:cs="Arial" w:eastAsia="Arial" w:hAnsi="Arial"/>
                <w:sz w:val="10"/>
                <w:szCs w:val="10"/>
                <w:color w:val="auto"/>
              </w:rPr>
              <w:t>-</w:t>
            </w:r>
          </w:p>
        </w:tc>
        <w:tc>
          <w:tcPr>
            <w:tcW w:w="340" w:type="dxa"/>
            <w:vAlign w:val="bottom"/>
            <w:gridSpan w:val="3"/>
            <w:shd w:val="clear" w:color="auto" w:fill="CCEEFF"/>
          </w:tcPr>
          <w:p>
            <w:pPr>
              <w:jc w:val="right"/>
              <w:ind w:right="20"/>
              <w:spacing w:after="0" w:line="107" w:lineRule="exact"/>
              <w:rPr>
                <w:sz w:val="20"/>
                <w:szCs w:val="20"/>
                <w:color w:val="auto"/>
              </w:rPr>
            </w:pPr>
            <w:r>
              <w:rPr>
                <w:rFonts w:ascii="Arial" w:cs="Arial" w:eastAsia="Arial" w:hAnsi="Arial"/>
                <w:sz w:val="10"/>
                <w:szCs w:val="10"/>
                <w:color w:val="auto"/>
              </w:rPr>
              <w:t>-</w:t>
            </w:r>
          </w:p>
        </w:tc>
        <w:tc>
          <w:tcPr>
            <w:tcW w:w="940" w:type="dxa"/>
            <w:vAlign w:val="bottom"/>
            <w:gridSpan w:val="8"/>
            <w:shd w:val="clear" w:color="auto" w:fill="CCEEFF"/>
          </w:tcPr>
          <w:p>
            <w:pPr>
              <w:jc w:val="right"/>
              <w:ind w:right="340"/>
              <w:spacing w:after="0" w:line="107" w:lineRule="exact"/>
              <w:rPr>
                <w:sz w:val="20"/>
                <w:szCs w:val="20"/>
                <w:color w:val="auto"/>
              </w:rPr>
            </w:pPr>
            <w:r>
              <w:rPr>
                <w:rFonts w:ascii="Arial" w:cs="Arial" w:eastAsia="Arial" w:hAnsi="Arial"/>
                <w:sz w:val="10"/>
                <w:szCs w:val="10"/>
                <w:color w:val="auto"/>
              </w:rPr>
              <w:t>1,040,776</w:t>
            </w:r>
          </w:p>
        </w:tc>
        <w:tc>
          <w:tcPr>
            <w:tcW w:w="1000" w:type="dxa"/>
            <w:vAlign w:val="bottom"/>
            <w:gridSpan w:val="8"/>
            <w:shd w:val="clear" w:color="auto" w:fill="CCEEFF"/>
          </w:tcPr>
          <w:p>
            <w:pPr>
              <w:jc w:val="right"/>
              <w:ind w:right="390"/>
              <w:spacing w:after="0" w:line="107"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w w:val="94"/>
              </w:rPr>
              <w:t>1,040,776</w:t>
            </w:r>
          </w:p>
        </w:tc>
        <w:tc>
          <w:tcPr>
            <w:tcW w:w="140" w:type="dxa"/>
            <w:vAlign w:val="bottom"/>
            <w:tcBorders>
              <w:left w:val="single" w:sz="8" w:color="CCEEFF"/>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40" w:type="dxa"/>
            <w:vAlign w:val="bottom"/>
            <w:gridSpan w:val="7"/>
          </w:tcPr>
          <w:p>
            <w:pPr>
              <w:spacing w:after="0"/>
              <w:rPr>
                <w:sz w:val="20"/>
                <w:szCs w:val="20"/>
                <w:color w:val="auto"/>
              </w:rPr>
            </w:pPr>
            <w:r>
              <w:rPr>
                <w:rFonts w:ascii="Arial" w:cs="Arial" w:eastAsia="Arial" w:hAnsi="Arial"/>
                <w:sz w:val="10"/>
                <w:szCs w:val="10"/>
                <w:color w:val="auto"/>
              </w:rPr>
              <w:t>Termination of redemption feature</w:t>
            </w:r>
          </w:p>
        </w:tc>
        <w:tc>
          <w:tcPr>
            <w:tcW w:w="700" w:type="dxa"/>
            <w:vAlign w:val="bottom"/>
            <w:gridSpan w:val="10"/>
          </w:tcPr>
          <w:p>
            <w:pPr>
              <w:jc w:val="right"/>
              <w:ind w:right="140"/>
              <w:spacing w:after="0" w:line="107" w:lineRule="exact"/>
              <w:rPr>
                <w:sz w:val="20"/>
                <w:szCs w:val="20"/>
                <w:color w:val="auto"/>
              </w:rPr>
            </w:pPr>
            <w:r>
              <w:rPr>
                <w:rFonts w:ascii="Arial" w:cs="Arial" w:eastAsia="Arial" w:hAnsi="Arial"/>
                <w:sz w:val="10"/>
                <w:szCs w:val="10"/>
                <w:color w:val="auto"/>
              </w:rPr>
              <w:t>(3,333,333)</w:t>
            </w:r>
          </w:p>
        </w:tc>
        <w:tc>
          <w:tcPr>
            <w:tcW w:w="900" w:type="dxa"/>
            <w:vAlign w:val="bottom"/>
            <w:gridSpan w:val="7"/>
          </w:tcPr>
          <w:p>
            <w:pPr>
              <w:jc w:val="right"/>
              <w:ind w:right="420"/>
              <w:spacing w:after="0" w:line="107" w:lineRule="exact"/>
              <w:rPr>
                <w:sz w:val="20"/>
                <w:szCs w:val="20"/>
                <w:color w:val="auto"/>
              </w:rPr>
            </w:pPr>
            <w:r>
              <w:rPr>
                <w:rFonts w:ascii="Arial" w:cs="Arial" w:eastAsia="Arial" w:hAnsi="Arial"/>
                <w:sz w:val="10"/>
                <w:szCs w:val="10"/>
                <w:color w:val="auto"/>
                <w:w w:val="89"/>
              </w:rPr>
              <w:t>(9,999,999)</w:t>
            </w:r>
          </w:p>
        </w:tc>
        <w:tc>
          <w:tcPr>
            <w:tcW w:w="320" w:type="dxa"/>
            <w:vAlign w:val="bottom"/>
            <w:gridSpan w:val="5"/>
          </w:tcPr>
          <w:p>
            <w:pPr>
              <w:jc w:val="right"/>
              <w:ind w:right="18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4"/>
          </w:tcPr>
          <w:p>
            <w:pPr>
              <w:jc w:val="right"/>
              <w:ind w:right="25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7"/>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300" w:type="dxa"/>
            <w:vAlign w:val="bottom"/>
            <w:gridSpan w:val="3"/>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700" w:type="dxa"/>
            <w:vAlign w:val="bottom"/>
            <w:gridSpan w:val="6"/>
          </w:tcPr>
          <w:p>
            <w:pPr>
              <w:jc w:val="right"/>
              <w:ind w:right="260"/>
              <w:spacing w:after="0" w:line="107" w:lineRule="exact"/>
              <w:rPr>
                <w:sz w:val="20"/>
                <w:szCs w:val="20"/>
                <w:color w:val="auto"/>
              </w:rPr>
            </w:pPr>
            <w:r>
              <w:rPr>
                <w:rFonts w:ascii="Arial" w:cs="Arial" w:eastAsia="Arial" w:hAnsi="Arial"/>
                <w:sz w:val="10"/>
                <w:szCs w:val="10"/>
                <w:color w:val="auto"/>
              </w:rPr>
              <w:t>-</w:t>
            </w:r>
          </w:p>
        </w:tc>
        <w:tc>
          <w:tcPr>
            <w:tcW w:w="260" w:type="dxa"/>
            <w:vAlign w:val="bottom"/>
            <w:gridSpan w:val="4"/>
          </w:tcPr>
          <w:p>
            <w:pPr>
              <w:jc w:val="right"/>
              <w:ind w:right="60"/>
              <w:spacing w:after="0" w:line="107" w:lineRule="exact"/>
              <w:rPr>
                <w:sz w:val="20"/>
                <w:szCs w:val="20"/>
                <w:color w:val="auto"/>
              </w:rPr>
            </w:pPr>
            <w:r>
              <w:rPr>
                <w:rFonts w:ascii="Arial" w:cs="Arial" w:eastAsia="Arial" w:hAnsi="Arial"/>
                <w:sz w:val="10"/>
                <w:szCs w:val="10"/>
                <w:color w:val="auto"/>
              </w:rPr>
              <w:t>-</w:t>
            </w:r>
          </w:p>
        </w:tc>
        <w:tc>
          <w:tcPr>
            <w:tcW w:w="720" w:type="dxa"/>
            <w:vAlign w:val="bottom"/>
            <w:gridSpan w:val="7"/>
          </w:tcPr>
          <w:p>
            <w:pPr>
              <w:jc w:val="right"/>
              <w:ind w:right="170"/>
              <w:spacing w:after="0" w:line="107" w:lineRule="exact"/>
              <w:rPr>
                <w:sz w:val="20"/>
                <w:szCs w:val="20"/>
                <w:color w:val="auto"/>
              </w:rPr>
            </w:pPr>
            <w:r>
              <w:rPr>
                <w:rFonts w:ascii="Arial" w:cs="Arial" w:eastAsia="Arial" w:hAnsi="Arial"/>
                <w:sz w:val="10"/>
                <w:szCs w:val="10"/>
                <w:color w:val="auto"/>
              </w:rPr>
              <w:t>3,333,333</w:t>
            </w:r>
          </w:p>
        </w:tc>
        <w:tc>
          <w:tcPr>
            <w:tcW w:w="500" w:type="dxa"/>
            <w:vAlign w:val="bottom"/>
            <w:gridSpan w:val="5"/>
          </w:tcPr>
          <w:p>
            <w:pPr>
              <w:jc w:val="right"/>
              <w:ind w:right="260"/>
              <w:spacing w:after="0" w:line="107" w:lineRule="exact"/>
              <w:rPr>
                <w:sz w:val="20"/>
                <w:szCs w:val="20"/>
                <w:color w:val="auto"/>
              </w:rPr>
            </w:pPr>
            <w:r>
              <w:rPr>
                <w:rFonts w:ascii="Arial" w:cs="Arial" w:eastAsia="Arial" w:hAnsi="Arial"/>
                <w:sz w:val="10"/>
                <w:szCs w:val="10"/>
                <w:color w:val="auto"/>
              </w:rPr>
              <w:t>333</w:t>
            </w:r>
          </w:p>
        </w:tc>
        <w:tc>
          <w:tcPr>
            <w:tcW w:w="540" w:type="dxa"/>
            <w:vAlign w:val="bottom"/>
            <w:gridSpan w:val="6"/>
          </w:tcPr>
          <w:p>
            <w:pPr>
              <w:jc w:val="right"/>
              <w:ind w:right="240"/>
              <w:spacing w:after="0" w:line="107" w:lineRule="exact"/>
              <w:rPr>
                <w:sz w:val="20"/>
                <w:szCs w:val="20"/>
                <w:color w:val="auto"/>
              </w:rPr>
            </w:pPr>
            <w:r>
              <w:rPr>
                <w:rFonts w:ascii="Arial" w:cs="Arial" w:eastAsia="Arial" w:hAnsi="Arial"/>
                <w:sz w:val="10"/>
                <w:szCs w:val="10"/>
                <w:color w:val="auto"/>
              </w:rPr>
              <w:t>-</w:t>
            </w:r>
          </w:p>
        </w:tc>
        <w:tc>
          <w:tcPr>
            <w:tcW w:w="480" w:type="dxa"/>
            <w:vAlign w:val="bottom"/>
            <w:gridSpan w:val="6"/>
          </w:tcPr>
          <w:p>
            <w:pPr>
              <w:jc w:val="right"/>
              <w:ind w:right="210"/>
              <w:spacing w:after="0" w:line="107" w:lineRule="exact"/>
              <w:rPr>
                <w:sz w:val="20"/>
                <w:szCs w:val="20"/>
                <w:color w:val="auto"/>
              </w:rPr>
            </w:pPr>
            <w:r>
              <w:rPr>
                <w:rFonts w:ascii="Arial" w:cs="Arial" w:eastAsia="Arial" w:hAnsi="Arial"/>
                <w:sz w:val="10"/>
                <w:szCs w:val="10"/>
                <w:color w:val="auto"/>
              </w:rPr>
              <w:t>-</w:t>
            </w:r>
          </w:p>
        </w:tc>
        <w:tc>
          <w:tcPr>
            <w:tcW w:w="540" w:type="dxa"/>
            <w:vAlign w:val="bottom"/>
            <w:gridSpan w:val="6"/>
          </w:tcPr>
          <w:p>
            <w:pPr>
              <w:jc w:val="right"/>
              <w:ind w:right="130"/>
              <w:spacing w:after="0" w:line="107" w:lineRule="exact"/>
              <w:rPr>
                <w:sz w:val="20"/>
                <w:szCs w:val="20"/>
                <w:color w:val="auto"/>
              </w:rPr>
            </w:pPr>
            <w:r>
              <w:rPr>
                <w:rFonts w:ascii="Arial" w:cs="Arial" w:eastAsia="Arial" w:hAnsi="Arial"/>
                <w:sz w:val="10"/>
                <w:szCs w:val="10"/>
                <w:color w:val="auto"/>
              </w:rPr>
              <w:t>-</w:t>
            </w:r>
          </w:p>
        </w:tc>
        <w:tc>
          <w:tcPr>
            <w:tcW w:w="340" w:type="dxa"/>
            <w:vAlign w:val="bottom"/>
            <w:gridSpan w:val="3"/>
          </w:tcPr>
          <w:p>
            <w:pPr>
              <w:jc w:val="right"/>
              <w:ind w:right="20"/>
              <w:spacing w:after="0" w:line="107" w:lineRule="exact"/>
              <w:rPr>
                <w:sz w:val="20"/>
                <w:szCs w:val="20"/>
                <w:color w:val="auto"/>
              </w:rPr>
            </w:pPr>
            <w:r>
              <w:rPr>
                <w:rFonts w:ascii="Arial" w:cs="Arial" w:eastAsia="Arial" w:hAnsi="Arial"/>
                <w:sz w:val="10"/>
                <w:szCs w:val="10"/>
                <w:color w:val="auto"/>
              </w:rPr>
              <w:t>-</w:t>
            </w:r>
          </w:p>
        </w:tc>
        <w:tc>
          <w:tcPr>
            <w:tcW w:w="940" w:type="dxa"/>
            <w:vAlign w:val="bottom"/>
            <w:gridSpan w:val="8"/>
          </w:tcPr>
          <w:p>
            <w:pPr>
              <w:jc w:val="right"/>
              <w:ind w:right="340"/>
              <w:spacing w:after="0" w:line="107" w:lineRule="exact"/>
              <w:rPr>
                <w:sz w:val="20"/>
                <w:szCs w:val="20"/>
                <w:color w:val="auto"/>
              </w:rPr>
            </w:pPr>
            <w:r>
              <w:rPr>
                <w:rFonts w:ascii="Arial" w:cs="Arial" w:eastAsia="Arial" w:hAnsi="Arial"/>
                <w:sz w:val="10"/>
                <w:szCs w:val="10"/>
                <w:color w:val="auto"/>
              </w:rPr>
              <w:t>9,999,666</w:t>
            </w:r>
          </w:p>
        </w:tc>
        <w:tc>
          <w:tcPr>
            <w:tcW w:w="1000" w:type="dxa"/>
            <w:vAlign w:val="bottom"/>
            <w:gridSpan w:val="8"/>
          </w:tcPr>
          <w:p>
            <w:pPr>
              <w:jc w:val="right"/>
              <w:ind w:right="390"/>
              <w:spacing w:after="0" w:line="107" w:lineRule="exact"/>
              <w:rPr>
                <w:sz w:val="20"/>
                <w:szCs w:val="20"/>
                <w:color w:val="auto"/>
              </w:rPr>
            </w:pPr>
            <w:r>
              <w:rPr>
                <w:rFonts w:ascii="Arial" w:cs="Arial" w:eastAsia="Arial" w:hAnsi="Arial"/>
                <w:sz w:val="10"/>
                <w:szCs w:val="10"/>
                <w:color w:val="auto"/>
              </w:rPr>
              <w:t>-</w:t>
            </w:r>
          </w:p>
        </w:tc>
        <w:tc>
          <w:tcPr>
            <w:tcW w:w="580" w:type="dxa"/>
            <w:vAlign w:val="bottom"/>
            <w:gridSpan w:val="4"/>
          </w:tcPr>
          <w:p>
            <w:pPr>
              <w:jc w:val="right"/>
              <w:ind w:right="140"/>
              <w:spacing w:after="0" w:line="107" w:lineRule="exact"/>
              <w:rPr>
                <w:sz w:val="20"/>
                <w:szCs w:val="20"/>
                <w:color w:val="auto"/>
              </w:rPr>
            </w:pPr>
            <w:r>
              <w:rPr>
                <w:rFonts w:ascii="Arial" w:cs="Arial" w:eastAsia="Arial" w:hAnsi="Arial"/>
                <w:sz w:val="10"/>
                <w:szCs w:val="10"/>
                <w:color w:val="auto"/>
                <w:w w:val="94"/>
              </w:rPr>
              <w:t>9,999,999</w:t>
            </w:r>
          </w:p>
        </w:tc>
        <w:tc>
          <w:tcPr>
            <w:tcW w:w="0" w:type="dxa"/>
            <w:vAlign w:val="bottom"/>
          </w:tcPr>
          <w:p>
            <w:pPr>
              <w:spacing w:after="0"/>
              <w:rPr>
                <w:sz w:val="1"/>
                <w:szCs w:val="1"/>
                <w:color w:val="auto"/>
              </w:rPr>
            </w:pPr>
          </w:p>
        </w:tc>
      </w:tr>
      <w:tr>
        <w:trPr>
          <w:trHeight w:val="118"/>
        </w:trPr>
        <w:tc>
          <w:tcPr>
            <w:tcW w:w="1680" w:type="dxa"/>
            <w:vAlign w:val="bottom"/>
            <w:gridSpan w:val="10"/>
          </w:tcPr>
          <w:p>
            <w:pPr>
              <w:spacing w:after="0"/>
              <w:rPr>
                <w:sz w:val="20"/>
                <w:szCs w:val="20"/>
                <w:color w:val="auto"/>
              </w:rPr>
            </w:pPr>
            <w:r>
              <w:rPr>
                <w:rFonts w:ascii="Arial" w:cs="Arial" w:eastAsia="Arial" w:hAnsi="Arial"/>
                <w:sz w:val="10"/>
                <w:szCs w:val="10"/>
                <w:color w:val="auto"/>
              </w:rPr>
              <w:t>Net income</w:t>
            </w:r>
          </w:p>
        </w:tc>
        <w:tc>
          <w:tcPr>
            <w:tcW w:w="460" w:type="dxa"/>
            <w:vAlign w:val="bottom"/>
            <w:gridSpan w:val="7"/>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900" w:type="dxa"/>
            <w:vAlign w:val="bottom"/>
            <w:gridSpan w:val="7"/>
            <w:shd w:val="clear" w:color="auto" w:fill="CCEEFF"/>
          </w:tcPr>
          <w:p>
            <w:pPr>
              <w:jc w:val="right"/>
              <w:ind w:right="440"/>
              <w:spacing w:after="0"/>
              <w:rPr>
                <w:sz w:val="20"/>
                <w:szCs w:val="20"/>
                <w:color w:val="auto"/>
              </w:rPr>
            </w:pPr>
            <w:r>
              <w:rPr>
                <w:rFonts w:ascii="Arial" w:cs="Arial" w:eastAsia="Arial" w:hAnsi="Arial"/>
                <w:sz w:val="10"/>
                <w:szCs w:val="10"/>
                <w:color w:val="auto"/>
              </w:rPr>
              <w:t>-</w:t>
            </w:r>
          </w:p>
        </w:tc>
        <w:tc>
          <w:tcPr>
            <w:tcW w:w="320" w:type="dxa"/>
            <w:vAlign w:val="bottom"/>
            <w:gridSpan w:val="5"/>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60" w:type="dxa"/>
            <w:vAlign w:val="bottom"/>
            <w:gridSpan w:val="4"/>
            <w:shd w:val="clear" w:color="auto" w:fill="CCEEFF"/>
          </w:tcPr>
          <w:p>
            <w:pPr>
              <w:jc w:val="right"/>
              <w:ind w:right="250"/>
              <w:spacing w:after="0"/>
              <w:rPr>
                <w:sz w:val="20"/>
                <w:szCs w:val="20"/>
                <w:color w:val="auto"/>
              </w:rPr>
            </w:pPr>
            <w:r>
              <w:rPr>
                <w:rFonts w:ascii="Arial" w:cs="Arial" w:eastAsia="Arial" w:hAnsi="Arial"/>
                <w:sz w:val="10"/>
                <w:szCs w:val="10"/>
                <w:color w:val="auto"/>
              </w:rPr>
              <w:t>-</w:t>
            </w:r>
          </w:p>
        </w:tc>
        <w:tc>
          <w:tcPr>
            <w:tcW w:w="540" w:type="dxa"/>
            <w:vAlign w:val="bottom"/>
            <w:gridSpan w:val="7"/>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6"/>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260" w:type="dxa"/>
            <w:vAlign w:val="bottom"/>
            <w:gridSpan w:val="4"/>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tcBorders>
              <w:right w:val="single" w:sz="8" w:color="CCEEFF"/>
            </w:tcBorders>
            <w:gridSpan w:val="7"/>
            <w:shd w:val="clear" w:color="auto" w:fill="CCEEFF"/>
          </w:tcPr>
          <w:p>
            <w:pPr>
              <w:jc w:val="right"/>
              <w:ind w:right="170"/>
              <w:spacing w:after="0"/>
              <w:rPr>
                <w:sz w:val="20"/>
                <w:szCs w:val="20"/>
                <w:color w:val="auto"/>
              </w:rPr>
            </w:pPr>
            <w:r>
              <w:rPr>
                <w:rFonts w:ascii="Arial" w:cs="Arial" w:eastAsia="Arial" w:hAnsi="Arial"/>
                <w:sz w:val="10"/>
                <w:szCs w:val="10"/>
                <w:color w:val="auto"/>
              </w:rPr>
              <w:t>-</w:t>
            </w:r>
          </w:p>
        </w:tc>
        <w:tc>
          <w:tcPr>
            <w:tcW w:w="500" w:type="dxa"/>
            <w:vAlign w:val="bottom"/>
            <w:gridSpan w:val="5"/>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480" w:type="dxa"/>
            <w:vAlign w:val="bottom"/>
            <w:gridSpan w:val="6"/>
            <w:shd w:val="clear" w:color="auto" w:fill="CCEEFF"/>
          </w:tcPr>
          <w:p>
            <w:pPr>
              <w:jc w:val="right"/>
              <w:ind w:right="210"/>
              <w:spacing w:after="0"/>
              <w:rPr>
                <w:sz w:val="20"/>
                <w:szCs w:val="20"/>
                <w:color w:val="auto"/>
              </w:rPr>
            </w:pPr>
            <w:r>
              <w:rPr>
                <w:rFonts w:ascii="Arial" w:cs="Arial" w:eastAsia="Arial" w:hAnsi="Arial"/>
                <w:sz w:val="10"/>
                <w:szCs w:val="10"/>
                <w:color w:val="auto"/>
              </w:rPr>
              <w:t>-</w:t>
            </w:r>
          </w:p>
        </w:tc>
        <w:tc>
          <w:tcPr>
            <w:tcW w:w="540" w:type="dxa"/>
            <w:vAlign w:val="bottom"/>
            <w:gridSpan w:val="6"/>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940" w:type="dxa"/>
            <w:vAlign w:val="bottom"/>
            <w:gridSpan w:val="8"/>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760" w:type="dxa"/>
            <w:vAlign w:val="bottom"/>
            <w:gridSpan w:val="5"/>
            <w:shd w:val="clear" w:color="auto" w:fill="CCEEFF"/>
          </w:tcPr>
          <w:p>
            <w:pPr>
              <w:jc w:val="right"/>
              <w:ind w:right="175"/>
              <w:spacing w:after="0"/>
              <w:rPr>
                <w:sz w:val="20"/>
                <w:szCs w:val="20"/>
                <w:color w:val="auto"/>
              </w:rPr>
            </w:pPr>
            <w:r>
              <w:rPr>
                <w:rFonts w:ascii="Arial" w:cs="Arial" w:eastAsia="Arial" w:hAnsi="Arial"/>
                <w:sz w:val="10"/>
                <w:szCs w:val="10"/>
                <w:color w:val="auto"/>
              </w:rPr>
              <w:t>11,673,099</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0"/>
                <w:szCs w:val="10"/>
                <w:color w:val="auto"/>
              </w:rPr>
              <w:t>11,673,099</w:t>
            </w:r>
          </w:p>
        </w:tc>
        <w:tc>
          <w:tcPr>
            <w:tcW w:w="140" w:type="dxa"/>
            <w:vAlign w:val="bottom"/>
            <w:tcBorders>
              <w:left w:val="single" w:sz="8" w:color="CCEEFF"/>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gridSpan w:val="6"/>
            <w:vMerge w:val="restart"/>
          </w:tcPr>
          <w:p>
            <w:pPr>
              <w:spacing w:after="0"/>
              <w:rPr>
                <w:sz w:val="20"/>
                <w:szCs w:val="20"/>
                <w:color w:val="auto"/>
              </w:rPr>
            </w:pPr>
            <w:r>
              <w:rPr>
                <w:rFonts w:ascii="Arial" w:cs="Arial" w:eastAsia="Arial" w:hAnsi="Arial"/>
                <w:sz w:val="10"/>
                <w:szCs w:val="10"/>
                <w:color w:val="auto"/>
                <w:w w:val="99"/>
              </w:rPr>
              <w:t>Balance at September 30, 2020</w:t>
            </w: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gridSpan w:val="5"/>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tcBorders>
            <w:gridSpan w:val="4"/>
            <w:shd w:val="clear" w:color="auto" w:fill="000000"/>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gridSpan w:val="4"/>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tcBorders>
            <w:gridSpan w:val="4"/>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440" w:type="dxa"/>
            <w:vAlign w:val="bottom"/>
            <w:tcBorders>
              <w:top w:val="single" w:sz="8" w:color="auto"/>
            </w:tcBorders>
            <w:gridSpan w:val="3"/>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gridSpan w:val="4"/>
            <w:shd w:val="clear" w:color="auto" w:fill="000000"/>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460" w:type="dxa"/>
            <w:vAlign w:val="bottom"/>
            <w:tcBorders>
              <w:top w:val="single" w:sz="8" w:color="auto"/>
            </w:tcBorders>
            <w:gridSpan w:val="4"/>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gridSpan w:val="2"/>
          </w:tcPr>
          <w:p>
            <w:pPr>
              <w:spacing w:after="0" w:line="20" w:lineRule="exact"/>
              <w:rPr>
                <w:sz w:val="1"/>
                <w:szCs w:val="1"/>
                <w:color w:val="auto"/>
              </w:rPr>
            </w:pPr>
          </w:p>
        </w:tc>
        <w:tc>
          <w:tcPr>
            <w:tcW w:w="24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gridSpan w:val="5"/>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tcBorders>
            <w:gridSpan w:val="5"/>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gridSpan w:val="3"/>
          </w:tcPr>
          <w:p>
            <w:pPr>
              <w:spacing w:after="0" w:line="20" w:lineRule="exact"/>
              <w:rPr>
                <w:sz w:val="1"/>
                <w:szCs w:val="1"/>
                <w:color w:val="auto"/>
              </w:rPr>
            </w:pPr>
          </w:p>
        </w:tc>
        <w:tc>
          <w:tcPr>
            <w:tcW w:w="760" w:type="dxa"/>
            <w:vAlign w:val="bottom"/>
            <w:tcBorders>
              <w:top w:val="single" w:sz="8" w:color="auto"/>
            </w:tcBorders>
            <w:gridSpan w:val="5"/>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gridSpan w:val="6"/>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3"/>
          </w:tcPr>
          <w:p>
            <w:pPr>
              <w:jc w:val="right"/>
              <w:spacing w:after="0" w:line="11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gridSpan w:val="3"/>
          </w:tcPr>
          <w:p>
            <w:pPr>
              <w:jc w:val="right"/>
              <w:ind w:right="20"/>
              <w:spacing w:after="0" w:line="111" w:lineRule="exact"/>
              <w:rPr>
                <w:sz w:val="20"/>
                <w:szCs w:val="20"/>
                <w:color w:val="auto"/>
              </w:rPr>
            </w:pPr>
            <w:r>
              <w:rPr>
                <w:rFonts w:ascii="Arial" w:cs="Arial" w:eastAsia="Arial" w:hAnsi="Arial"/>
                <w:sz w:val="10"/>
                <w:szCs w:val="10"/>
                <w:color w:val="auto"/>
              </w:rPr>
              <w:t>$</w:t>
            </w:r>
          </w:p>
        </w:tc>
        <w:tc>
          <w:tcPr>
            <w:tcW w:w="520" w:type="dxa"/>
            <w:vAlign w:val="bottom"/>
            <w:gridSpan w:val="3"/>
          </w:tcPr>
          <w:p>
            <w:pPr>
              <w:jc w:val="right"/>
              <w:ind w:right="60"/>
              <w:spacing w:after="0" w:line="11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520" w:type="dxa"/>
            <w:vAlign w:val="bottom"/>
            <w:gridSpan w:val="5"/>
          </w:tcPr>
          <w:p>
            <w:pPr>
              <w:jc w:val="right"/>
              <w:ind w:right="20"/>
              <w:spacing w:after="0" w:line="111" w:lineRule="exact"/>
              <w:rPr>
                <w:sz w:val="20"/>
                <w:szCs w:val="20"/>
                <w:color w:val="auto"/>
              </w:rPr>
            </w:pPr>
            <w:r>
              <w:rPr>
                <w:rFonts w:ascii="Arial" w:cs="Arial" w:eastAsia="Arial" w:hAnsi="Arial"/>
                <w:sz w:val="10"/>
                <w:szCs w:val="10"/>
                <w:color w:val="auto"/>
              </w:rPr>
              <w:t>6,615,000</w:t>
            </w:r>
          </w:p>
        </w:tc>
        <w:tc>
          <w:tcPr>
            <w:tcW w:w="20" w:type="dxa"/>
            <w:vAlign w:val="bottom"/>
          </w:tcPr>
          <w:p>
            <w:pPr>
              <w:spacing w:after="0"/>
              <w:rPr>
                <w:sz w:val="9"/>
                <w:szCs w:val="9"/>
                <w:color w:val="auto"/>
              </w:rPr>
            </w:pPr>
          </w:p>
        </w:tc>
        <w:tc>
          <w:tcPr>
            <w:tcW w:w="140" w:type="dxa"/>
            <w:vAlign w:val="bottom"/>
            <w:gridSpan w:val="2"/>
          </w:tcPr>
          <w:p>
            <w:pPr>
              <w:ind w:left="60"/>
              <w:spacing w:after="0" w:line="111" w:lineRule="exact"/>
              <w:rPr>
                <w:sz w:val="20"/>
                <w:szCs w:val="20"/>
                <w:color w:val="auto"/>
              </w:rPr>
            </w:pPr>
            <w:r>
              <w:rPr>
                <w:rFonts w:ascii="Arial" w:cs="Arial" w:eastAsia="Arial" w:hAnsi="Arial"/>
                <w:sz w:val="10"/>
                <w:szCs w:val="10"/>
                <w:color w:val="auto"/>
              </w:rPr>
              <w:t>$</w:t>
            </w:r>
          </w:p>
        </w:tc>
        <w:tc>
          <w:tcPr>
            <w:tcW w:w="360" w:type="dxa"/>
            <w:vAlign w:val="bottom"/>
            <w:gridSpan w:val="3"/>
          </w:tcPr>
          <w:p>
            <w:pPr>
              <w:jc w:val="right"/>
              <w:ind w:right="100"/>
              <w:spacing w:after="0" w:line="111" w:lineRule="exact"/>
              <w:rPr>
                <w:sz w:val="20"/>
                <w:szCs w:val="20"/>
                <w:color w:val="auto"/>
              </w:rPr>
            </w:pPr>
            <w:r>
              <w:rPr>
                <w:rFonts w:ascii="Arial" w:cs="Arial" w:eastAsia="Arial" w:hAnsi="Arial"/>
                <w:sz w:val="10"/>
                <w:szCs w:val="10"/>
                <w:color w:val="auto"/>
              </w:rPr>
              <w:t>662</w:t>
            </w:r>
          </w:p>
        </w:tc>
        <w:tc>
          <w:tcPr>
            <w:tcW w:w="480" w:type="dxa"/>
            <w:vAlign w:val="bottom"/>
            <w:gridSpan w:val="4"/>
          </w:tcPr>
          <w:p>
            <w:pPr>
              <w:jc w:val="right"/>
              <w:spacing w:after="0" w:line="111" w:lineRule="exact"/>
              <w:rPr>
                <w:sz w:val="20"/>
                <w:szCs w:val="20"/>
                <w:color w:val="auto"/>
              </w:rPr>
            </w:pPr>
            <w:r>
              <w:rPr>
                <w:rFonts w:ascii="Arial" w:cs="Arial" w:eastAsia="Arial" w:hAnsi="Arial"/>
                <w:sz w:val="10"/>
                <w:szCs w:val="10"/>
                <w:color w:val="auto"/>
              </w:rPr>
              <w:t>2,525,800</w:t>
            </w:r>
          </w:p>
        </w:tc>
        <w:tc>
          <w:tcPr>
            <w:tcW w:w="80" w:type="dxa"/>
            <w:vAlign w:val="bottom"/>
          </w:tcPr>
          <w:p>
            <w:pPr>
              <w:spacing w:after="0"/>
              <w:rPr>
                <w:sz w:val="9"/>
                <w:szCs w:val="9"/>
                <w:color w:val="auto"/>
              </w:rPr>
            </w:pPr>
          </w:p>
        </w:tc>
        <w:tc>
          <w:tcPr>
            <w:tcW w:w="160" w:type="dxa"/>
            <w:vAlign w:val="bottom"/>
            <w:gridSpan w:val="2"/>
          </w:tcPr>
          <w:p>
            <w:pPr>
              <w:ind w:left="20"/>
              <w:spacing w:after="0" w:line="111"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300" w:type="dxa"/>
            <w:vAlign w:val="bottom"/>
            <w:gridSpan w:val="3"/>
          </w:tcPr>
          <w:p>
            <w:pPr>
              <w:jc w:val="right"/>
              <w:ind w:right="120"/>
              <w:spacing w:after="0" w:line="111" w:lineRule="exact"/>
              <w:rPr>
                <w:sz w:val="20"/>
                <w:szCs w:val="20"/>
                <w:color w:val="auto"/>
              </w:rPr>
            </w:pPr>
            <w:r>
              <w:rPr>
                <w:rFonts w:ascii="Arial" w:cs="Arial" w:eastAsia="Arial" w:hAnsi="Arial"/>
                <w:sz w:val="10"/>
                <w:szCs w:val="10"/>
                <w:color w:val="auto"/>
                <w:w w:val="95"/>
              </w:rPr>
              <w:t>253</w:t>
            </w:r>
          </w:p>
        </w:tc>
        <w:tc>
          <w:tcPr>
            <w:tcW w:w="440" w:type="dxa"/>
            <w:vAlign w:val="bottom"/>
            <w:gridSpan w:val="3"/>
          </w:tcPr>
          <w:p>
            <w:pPr>
              <w:jc w:val="right"/>
              <w:spacing w:after="0" w:line="111" w:lineRule="exact"/>
              <w:rPr>
                <w:sz w:val="20"/>
                <w:szCs w:val="20"/>
                <w:color w:val="auto"/>
              </w:rPr>
            </w:pPr>
            <w:r>
              <w:rPr>
                <w:rFonts w:ascii="Arial" w:cs="Arial" w:eastAsia="Arial" w:hAnsi="Arial"/>
                <w:sz w:val="10"/>
                <w:szCs w:val="10"/>
                <w:color w:val="auto"/>
                <w:w w:val="94"/>
              </w:rPr>
              <w:t>4,039,963</w:t>
            </w:r>
          </w:p>
        </w:tc>
        <w:tc>
          <w:tcPr>
            <w:tcW w:w="260" w:type="dxa"/>
            <w:vAlign w:val="bottom"/>
            <w:gridSpan w:val="3"/>
          </w:tcPr>
          <w:p>
            <w:pPr>
              <w:ind w:left="120"/>
              <w:spacing w:after="0" w:line="111" w:lineRule="exact"/>
              <w:rPr>
                <w:sz w:val="20"/>
                <w:szCs w:val="20"/>
                <w:color w:val="auto"/>
              </w:rPr>
            </w:pPr>
            <w:r>
              <w:rPr>
                <w:rFonts w:ascii="Arial" w:cs="Arial" w:eastAsia="Arial" w:hAnsi="Arial"/>
                <w:sz w:val="10"/>
                <w:szCs w:val="10"/>
                <w:color w:val="auto"/>
              </w:rPr>
              <w:t>$</w:t>
            </w:r>
          </w:p>
        </w:tc>
        <w:tc>
          <w:tcPr>
            <w:tcW w:w="220" w:type="dxa"/>
            <w:vAlign w:val="bottom"/>
            <w:gridSpan w:val="3"/>
          </w:tcPr>
          <w:p>
            <w:pPr>
              <w:jc w:val="right"/>
              <w:ind w:right="20"/>
              <w:spacing w:after="0" w:line="111" w:lineRule="exact"/>
              <w:rPr>
                <w:sz w:val="20"/>
                <w:szCs w:val="20"/>
                <w:color w:val="auto"/>
              </w:rPr>
            </w:pPr>
            <w:r>
              <w:rPr>
                <w:rFonts w:ascii="Arial" w:cs="Arial" w:eastAsia="Arial" w:hAnsi="Arial"/>
                <w:sz w:val="10"/>
                <w:szCs w:val="10"/>
                <w:color w:val="auto"/>
              </w:rPr>
              <w:t>404</w:t>
            </w:r>
          </w:p>
        </w:tc>
        <w:tc>
          <w:tcPr>
            <w:tcW w:w="40" w:type="dxa"/>
            <w:vAlign w:val="bottom"/>
          </w:tcPr>
          <w:p>
            <w:pPr>
              <w:spacing w:after="0"/>
              <w:rPr>
                <w:sz w:val="9"/>
                <w:szCs w:val="9"/>
                <w:color w:val="auto"/>
              </w:rPr>
            </w:pPr>
          </w:p>
        </w:tc>
        <w:tc>
          <w:tcPr>
            <w:tcW w:w="560" w:type="dxa"/>
            <w:vAlign w:val="bottom"/>
            <w:gridSpan w:val="6"/>
          </w:tcPr>
          <w:p>
            <w:pPr>
              <w:jc w:val="right"/>
              <w:ind w:right="60"/>
              <w:spacing w:after="0" w:line="111" w:lineRule="exact"/>
              <w:rPr>
                <w:sz w:val="20"/>
                <w:szCs w:val="20"/>
                <w:color w:val="auto"/>
              </w:rPr>
            </w:pPr>
            <w:r>
              <w:rPr>
                <w:rFonts w:ascii="Arial" w:cs="Arial" w:eastAsia="Arial" w:hAnsi="Arial"/>
                <w:sz w:val="10"/>
                <w:szCs w:val="10"/>
                <w:color w:val="auto"/>
              </w:rPr>
              <w:t>3,333,333</w:t>
            </w:r>
          </w:p>
        </w:tc>
        <w:tc>
          <w:tcPr>
            <w:tcW w:w="160" w:type="dxa"/>
            <w:vAlign w:val="bottom"/>
          </w:tcPr>
          <w:p>
            <w:pPr>
              <w:ind w:left="60"/>
              <w:spacing w:after="0" w:line="111" w:lineRule="exact"/>
              <w:rPr>
                <w:sz w:val="20"/>
                <w:szCs w:val="20"/>
                <w:color w:val="auto"/>
              </w:rPr>
            </w:pPr>
            <w:r>
              <w:rPr>
                <w:rFonts w:ascii="Arial" w:cs="Arial" w:eastAsia="Arial" w:hAnsi="Arial"/>
                <w:sz w:val="10"/>
                <w:szCs w:val="10"/>
                <w:color w:val="auto"/>
              </w:rPr>
              <w:t>$</w:t>
            </w:r>
          </w:p>
        </w:tc>
        <w:tc>
          <w:tcPr>
            <w:tcW w:w="340" w:type="dxa"/>
            <w:vAlign w:val="bottom"/>
            <w:gridSpan w:val="3"/>
          </w:tcPr>
          <w:p>
            <w:pPr>
              <w:jc w:val="right"/>
              <w:ind w:right="100"/>
              <w:spacing w:after="0" w:line="111" w:lineRule="exact"/>
              <w:rPr>
                <w:sz w:val="20"/>
                <w:szCs w:val="20"/>
                <w:color w:val="auto"/>
              </w:rPr>
            </w:pPr>
            <w:r>
              <w:rPr>
                <w:rFonts w:ascii="Arial" w:cs="Arial" w:eastAsia="Arial" w:hAnsi="Arial"/>
                <w:sz w:val="10"/>
                <w:szCs w:val="10"/>
                <w:color w:val="auto"/>
              </w:rPr>
              <w:t>333</w:t>
            </w:r>
          </w:p>
        </w:tc>
        <w:tc>
          <w:tcPr>
            <w:tcW w:w="460" w:type="dxa"/>
            <w:vAlign w:val="bottom"/>
            <w:gridSpan w:val="5"/>
          </w:tcPr>
          <w:p>
            <w:pPr>
              <w:jc w:val="right"/>
              <w:spacing w:after="0" w:line="111" w:lineRule="exact"/>
              <w:rPr>
                <w:sz w:val="20"/>
                <w:szCs w:val="20"/>
                <w:color w:val="auto"/>
              </w:rPr>
            </w:pPr>
            <w:r>
              <w:rPr>
                <w:rFonts w:ascii="Arial" w:cs="Arial" w:eastAsia="Arial" w:hAnsi="Arial"/>
                <w:sz w:val="10"/>
                <w:szCs w:val="10"/>
                <w:color w:val="auto"/>
                <w:w w:val="98"/>
              </w:rPr>
              <w:t>4,090,540</w:t>
            </w:r>
          </w:p>
        </w:tc>
        <w:tc>
          <w:tcPr>
            <w:tcW w:w="60" w:type="dxa"/>
            <w:vAlign w:val="bottom"/>
          </w:tcPr>
          <w:p>
            <w:pPr>
              <w:spacing w:after="0"/>
              <w:rPr>
                <w:sz w:val="9"/>
                <w:szCs w:val="9"/>
                <w:color w:val="auto"/>
              </w:rPr>
            </w:pPr>
          </w:p>
        </w:tc>
        <w:tc>
          <w:tcPr>
            <w:tcW w:w="180" w:type="dxa"/>
            <w:vAlign w:val="bottom"/>
            <w:gridSpan w:val="2"/>
          </w:tcPr>
          <w:p>
            <w:pPr>
              <w:ind w:left="60"/>
              <w:spacing w:after="0" w:line="111" w:lineRule="exact"/>
              <w:rPr>
                <w:sz w:val="20"/>
                <w:szCs w:val="20"/>
                <w:color w:val="auto"/>
              </w:rPr>
            </w:pPr>
            <w:r>
              <w:rPr>
                <w:rFonts w:ascii="Arial" w:cs="Arial" w:eastAsia="Arial" w:hAnsi="Arial"/>
                <w:sz w:val="10"/>
                <w:szCs w:val="10"/>
                <w:color w:val="auto"/>
              </w:rPr>
              <w:t>$</w:t>
            </w:r>
          </w:p>
        </w:tc>
        <w:tc>
          <w:tcPr>
            <w:tcW w:w="240" w:type="dxa"/>
            <w:vAlign w:val="bottom"/>
            <w:gridSpan w:val="3"/>
          </w:tcPr>
          <w:p>
            <w:pPr>
              <w:jc w:val="right"/>
              <w:ind w:right="20"/>
              <w:spacing w:after="0" w:line="111" w:lineRule="exact"/>
              <w:rPr>
                <w:sz w:val="20"/>
                <w:szCs w:val="20"/>
                <w:color w:val="auto"/>
              </w:rPr>
            </w:pPr>
            <w:r>
              <w:rPr>
                <w:rFonts w:ascii="Arial" w:cs="Arial" w:eastAsia="Arial" w:hAnsi="Arial"/>
                <w:sz w:val="10"/>
                <w:szCs w:val="10"/>
                <w:color w:val="auto"/>
              </w:rPr>
              <w:t>409</w:t>
            </w:r>
          </w:p>
        </w:tc>
        <w:tc>
          <w:tcPr>
            <w:tcW w:w="640" w:type="dxa"/>
            <w:vAlign w:val="bottom"/>
            <w:gridSpan w:val="7"/>
          </w:tcPr>
          <w:p>
            <w:pPr>
              <w:jc w:val="right"/>
              <w:ind w:right="40"/>
              <w:spacing w:after="0" w:line="111" w:lineRule="exact"/>
              <w:rPr>
                <w:sz w:val="20"/>
                <w:szCs w:val="20"/>
                <w:color w:val="auto"/>
              </w:rPr>
            </w:pPr>
            <w:r>
              <w:rPr>
                <w:rFonts w:ascii="Arial" w:cs="Arial" w:eastAsia="Arial" w:hAnsi="Arial"/>
                <w:sz w:val="10"/>
                <w:szCs w:val="10"/>
                <w:color w:val="auto"/>
              </w:rPr>
              <w:t>35,216,000</w:t>
            </w:r>
          </w:p>
        </w:tc>
        <w:tc>
          <w:tcPr>
            <w:tcW w:w="140" w:type="dxa"/>
            <w:vAlign w:val="bottom"/>
            <w:gridSpan w:val="2"/>
          </w:tcPr>
          <w:p>
            <w:pPr>
              <w:jc w:val="right"/>
              <w:spacing w:after="0" w:line="111" w:lineRule="exact"/>
              <w:rPr>
                <w:sz w:val="20"/>
                <w:szCs w:val="20"/>
                <w:color w:val="auto"/>
              </w:rPr>
            </w:pPr>
            <w:r>
              <w:rPr>
                <w:rFonts w:ascii="Arial" w:cs="Arial" w:eastAsia="Arial" w:hAnsi="Arial"/>
                <w:sz w:val="10"/>
                <w:szCs w:val="10"/>
                <w:color w:val="auto"/>
              </w:rPr>
              <w:t>$</w:t>
            </w:r>
          </w:p>
        </w:tc>
        <w:tc>
          <w:tcPr>
            <w:tcW w:w="340" w:type="dxa"/>
            <w:vAlign w:val="bottom"/>
            <w:gridSpan w:val="3"/>
          </w:tcPr>
          <w:p>
            <w:pPr>
              <w:jc w:val="right"/>
              <w:ind w:right="20"/>
              <w:spacing w:after="0" w:line="111" w:lineRule="exact"/>
              <w:rPr>
                <w:sz w:val="20"/>
                <w:szCs w:val="20"/>
                <w:color w:val="auto"/>
              </w:rPr>
            </w:pPr>
            <w:r>
              <w:rPr>
                <w:rFonts w:ascii="Arial" w:cs="Arial" w:eastAsia="Arial" w:hAnsi="Arial"/>
                <w:sz w:val="10"/>
                <w:szCs w:val="10"/>
                <w:color w:val="auto"/>
              </w:rPr>
              <w:t>3,522</w:t>
            </w:r>
          </w:p>
        </w:tc>
        <w:tc>
          <w:tcPr>
            <w:tcW w:w="660" w:type="dxa"/>
            <w:vAlign w:val="bottom"/>
            <w:gridSpan w:val="4"/>
          </w:tcPr>
          <w:p>
            <w:pPr>
              <w:jc w:val="right"/>
              <w:ind w:right="60"/>
              <w:spacing w:after="0" w:line="111" w:lineRule="exact"/>
              <w:rPr>
                <w:sz w:val="20"/>
                <w:szCs w:val="20"/>
                <w:color w:val="auto"/>
              </w:rPr>
            </w:pPr>
            <w:r>
              <w:rPr>
                <w:rFonts w:ascii="Arial" w:cs="Arial" w:eastAsia="Arial" w:hAnsi="Arial"/>
                <w:sz w:val="10"/>
                <w:szCs w:val="10"/>
                <w:color w:val="auto"/>
                <w:w w:val="99"/>
              </w:rPr>
              <w:t>$ 50,732,024</w:t>
            </w:r>
          </w:p>
        </w:tc>
        <w:tc>
          <w:tcPr>
            <w:tcW w:w="180" w:type="dxa"/>
            <w:vAlign w:val="bottom"/>
            <w:gridSpan w:val="3"/>
          </w:tcPr>
          <w:p>
            <w:pPr>
              <w:jc w:val="right"/>
              <w:ind w:right="1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00" w:type="dxa"/>
            <w:vAlign w:val="bottom"/>
            <w:gridSpan w:val="4"/>
          </w:tcPr>
          <w:p>
            <w:pPr>
              <w:jc w:val="right"/>
              <w:ind w:right="140"/>
              <w:spacing w:after="0" w:line="111" w:lineRule="exact"/>
              <w:rPr>
                <w:sz w:val="20"/>
                <w:szCs w:val="20"/>
                <w:color w:val="auto"/>
              </w:rPr>
            </w:pPr>
            <w:r>
              <w:rPr>
                <w:rFonts w:ascii="Arial" w:cs="Arial" w:eastAsia="Arial" w:hAnsi="Arial"/>
                <w:sz w:val="10"/>
                <w:szCs w:val="10"/>
                <w:b w:val="1"/>
                <w:bCs w:val="1"/>
                <w:color w:val="auto"/>
              </w:rPr>
              <w:t>20,429,094</w:t>
            </w: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gridSpan w:val="5"/>
          </w:tcPr>
          <w:p>
            <w:pPr>
              <w:jc w:val="right"/>
              <w:spacing w:after="0" w:line="111" w:lineRule="exact"/>
              <w:rPr>
                <w:sz w:val="20"/>
                <w:szCs w:val="20"/>
                <w:color w:val="auto"/>
              </w:rPr>
            </w:pPr>
            <w:r>
              <w:rPr>
                <w:rFonts w:ascii="Arial" w:cs="Arial" w:eastAsia="Arial" w:hAnsi="Arial"/>
                <w:sz w:val="10"/>
                <w:szCs w:val="10"/>
                <w:b w:val="1"/>
                <w:bCs w:val="1"/>
                <w:color w:val="auto"/>
              </w:rPr>
              <w:t>30,308,513</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60" w:type="dxa"/>
            <w:vAlign w:val="bottom"/>
            <w:gridSpan w:val="8"/>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360"/>
          </w:cols>
          <w:pgMar w:left="300" w:top="554" w:right="2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Net (loss) income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w w:val="97"/>
              </w:rPr>
              <w:t>(5,593,035)</w:t>
            </w: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w w:val="94"/>
              </w:rPr>
              <w:t>11,673,099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Gain on extinguishment of PPP Loan</w:t>
            </w:r>
          </w:p>
        </w:tc>
        <w:tc>
          <w:tcPr>
            <w:tcW w:w="10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rPr>
              <w:t>(661,612)</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868,630</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223,888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Amortization of right-of-use assets</w:t>
            </w:r>
          </w:p>
        </w:tc>
        <w:tc>
          <w:tcPr>
            <w:tcW w:w="1020" w:type="dxa"/>
            <w:vAlign w:val="bottom"/>
          </w:tcPr>
          <w:p>
            <w:pPr>
              <w:spacing w:after="0"/>
              <w:rPr>
                <w:sz w:val="14"/>
                <w:szCs w:val="14"/>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rPr>
              <w:t>123,777</w:t>
            </w:r>
          </w:p>
        </w:tc>
        <w:tc>
          <w:tcPr>
            <w:tcW w:w="100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123,777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1,663,210</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1,040,776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Gain on sale of equipment</w:t>
            </w:r>
          </w:p>
        </w:tc>
        <w:tc>
          <w:tcPr>
            <w:tcW w:w="10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rPr>
              <w:t>(5,488)</w:t>
            </w:r>
          </w:p>
        </w:tc>
        <w:tc>
          <w:tcPr>
            <w:tcW w:w="100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auto"/>
              </w:rPr>
              <w:t>(2,252)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4"/>
                <w:szCs w:val="14"/>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w w:val="94"/>
              </w:rPr>
              <w:t>10,356,280</w:t>
            </w:r>
          </w:p>
        </w:tc>
        <w:tc>
          <w:tcPr>
            <w:tcW w:w="100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auto"/>
                <w:w w:val="97"/>
              </w:rPr>
              <w:t>(8,009,864)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331,559</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56,414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Right-of-use assets - operating lease</w:t>
            </w:r>
          </w:p>
        </w:tc>
        <w:tc>
          <w:tcPr>
            <w:tcW w:w="10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rPr>
              <w:t>(45,964)</w:t>
            </w:r>
          </w:p>
        </w:tc>
        <w:tc>
          <w:tcPr>
            <w:tcW w:w="100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171,908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to related party</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(2,727)</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w w:val="97"/>
              </w:rPr>
              <w:t>(3,273,848)</w:t>
            </w:r>
          </w:p>
        </w:tc>
        <w:tc>
          <w:tcPr>
            <w:tcW w:w="100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auto"/>
              </w:rPr>
              <w:t>(193,554)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3,104,260</w:t>
            </w:r>
          </w:p>
        </w:tc>
        <w:tc>
          <w:tcPr>
            <w:tcW w:w="10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384,272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40" w:type="dxa"/>
            <w:vAlign w:val="bottom"/>
            <w:tcBorders>
              <w:top w:val="single" w:sz="8" w:color="CCEEFF"/>
              <w:bottom w:val="single" w:sz="8" w:color="CCEEFF"/>
            </w:tcBorders>
          </w:tcPr>
          <w:p>
            <w:pPr>
              <w:ind w:left="280"/>
              <w:spacing w:after="0" w:line="153" w:lineRule="exact"/>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6,865,042</w:t>
            </w:r>
          </w:p>
        </w:tc>
        <w:tc>
          <w:tcPr>
            <w:tcW w:w="340" w:type="dxa"/>
            <w:vAlign w:val="bottom"/>
            <w:tcBorders>
              <w:top w:val="single" w:sz="8" w:color="CCEEFF"/>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5,473,378</w:t>
            </w:r>
          </w:p>
        </w:tc>
        <w:tc>
          <w:tcPr>
            <w:tcW w:w="100" w:type="dxa"/>
            <w:vAlign w:val="bottom"/>
            <w:tcBorders>
              <w:top w:val="single" w:sz="8" w:color="CCEEFF"/>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Purchases of equipment</w:t>
            </w:r>
          </w:p>
        </w:tc>
        <w:tc>
          <w:tcPr>
            <w:tcW w:w="10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w w:val="97"/>
              </w:rPr>
              <w:t>(8,581,735)</w:t>
            </w:r>
          </w:p>
        </w:tc>
        <w:tc>
          <w:tcPr>
            <w:tcW w:w="10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7"/>
              </w:rPr>
              <w:t>(7,371,717)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40" w:type="dxa"/>
            <w:vAlign w:val="bottom"/>
            <w:tcBorders>
              <w:top w:val="single" w:sz="8" w:color="CCEEFF"/>
              <w:bottom w:val="single" w:sz="8" w:color="CCEEFF"/>
            </w:tcBorders>
          </w:tcPr>
          <w:p>
            <w:pPr>
              <w:ind w:left="280"/>
              <w:spacing w:after="0" w:line="153" w:lineRule="exact"/>
              <w:rPr>
                <w:sz w:val="20"/>
                <w:szCs w:val="20"/>
                <w:color w:val="auto"/>
              </w:rPr>
            </w:pPr>
            <w:r>
              <w:rPr>
                <w:rFonts w:ascii="Arial" w:cs="Arial" w:eastAsia="Arial" w:hAnsi="Arial"/>
                <w:sz w:val="14"/>
                <w:szCs w:val="14"/>
                <w:color w:val="auto"/>
              </w:rPr>
              <w:t>Net cash used in investing activities</w:t>
            </w:r>
          </w:p>
        </w:tc>
        <w:tc>
          <w:tcPr>
            <w:tcW w:w="10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(8,581,735</w:t>
            </w:r>
          </w:p>
        </w:tc>
        <w:tc>
          <w:tcPr>
            <w:tcW w:w="340" w:type="dxa"/>
            <w:vAlign w:val="bottom"/>
            <w:tcBorders>
              <w:top w:val="single" w:sz="8" w:color="CCEEFF"/>
              <w:bottom w:val="single" w:sz="8" w:color="CCEEFF"/>
            </w:tcBorders>
          </w:tcPr>
          <w:p>
            <w:pPr>
              <w:jc w:val="right"/>
              <w:ind w:right="25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(7,371,717</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preferred stock, net of debt issuance costs</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9,900,205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Proceeds from PPP Loan</w:t>
            </w:r>
          </w:p>
        </w:tc>
        <w:tc>
          <w:tcPr>
            <w:tcW w:w="1020" w:type="dxa"/>
            <w:vAlign w:val="bottom"/>
          </w:tcPr>
          <w:p>
            <w:pPr>
              <w:spacing w:after="0"/>
              <w:rPr>
                <w:sz w:val="14"/>
                <w:szCs w:val="14"/>
                <w:color w:val="auto"/>
              </w:rPr>
            </w:pP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rPr>
              <w:t>661,612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4"/>
                <w:szCs w:val="14"/>
                <w:color w:val="auto"/>
              </w:rPr>
              <w:t>Payments of notes payable</w:t>
            </w:r>
          </w:p>
        </w:tc>
        <w:tc>
          <w:tcPr>
            <w:tcW w:w="10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7"/>
              </w:rPr>
              <w:t>(1,373,846)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Principal payments on finance leases</w:t>
            </w:r>
          </w:p>
        </w:tc>
        <w:tc>
          <w:tcPr>
            <w:tcW w:w="1020" w:type="dxa"/>
            <w:vAlign w:val="bottom"/>
          </w:tcPr>
          <w:p>
            <w:pPr>
              <w:spacing w:after="0"/>
              <w:rPr>
                <w:sz w:val="15"/>
                <w:szCs w:val="15"/>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rPr>
              <w:t>(142,928)</w:t>
            </w:r>
          </w:p>
        </w:tc>
        <w:tc>
          <w:tcPr>
            <w:tcW w:w="1000" w:type="dxa"/>
            <w:vAlign w:val="bottom"/>
          </w:tcPr>
          <w:p>
            <w:pPr>
              <w:spacing w:after="0"/>
              <w:rPr>
                <w:sz w:val="15"/>
                <w:szCs w:val="15"/>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color w:val="auto"/>
              </w:rPr>
              <w:t>(129,495)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10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(142,928</w:t>
            </w:r>
          </w:p>
        </w:tc>
        <w:tc>
          <w:tcPr>
            <w:tcW w:w="340" w:type="dxa"/>
            <w:vAlign w:val="bottom"/>
            <w:tcBorders>
              <w:top w:val="single" w:sz="8" w:color="CCEEFF"/>
              <w:bottom w:val="single" w:sz="8" w:color="CCEEFF"/>
            </w:tcBorders>
            <w:shd w:val="clear" w:color="auto" w:fill="CCEEFF"/>
          </w:tcPr>
          <w:p>
            <w:pPr>
              <w:jc w:val="right"/>
              <w:ind w:right="25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9,058,476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40" w:type="dxa"/>
            <w:vAlign w:val="bottom"/>
          </w:tcPr>
          <w:p>
            <w:pPr>
              <w:ind w:left="280"/>
              <w:spacing w:after="0" w:line="153" w:lineRule="exact"/>
              <w:rPr>
                <w:sz w:val="20"/>
                <w:szCs w:val="20"/>
                <w:color w:val="auto"/>
              </w:rPr>
            </w:pPr>
            <w:r>
              <w:rPr>
                <w:rFonts w:ascii="Arial" w:cs="Arial" w:eastAsia="Arial" w:hAnsi="Arial"/>
                <w:sz w:val="14"/>
                <w:szCs w:val="14"/>
                <w:color w:val="auto"/>
              </w:rPr>
              <w:t>Net (decrease) increase in cash and cash equivalents</w:t>
            </w:r>
          </w:p>
        </w:tc>
        <w:tc>
          <w:tcPr>
            <w:tcW w:w="10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w w:val="92"/>
              </w:rPr>
              <w:t>(1,859,621)</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7,160,137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Cash and cash equivalents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Beginning of period</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12,610,383</w:t>
            </w:r>
          </w:p>
        </w:tc>
        <w:tc>
          <w:tcPr>
            <w:tcW w:w="3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6,345,969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4"/>
                <w:szCs w:val="14"/>
                <w:color w:val="auto"/>
              </w:rPr>
              <w:t>End of period</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99"/>
              <w:spacing w:after="0"/>
              <w:rPr>
                <w:sz w:val="20"/>
                <w:szCs w:val="20"/>
                <w:color w:val="auto"/>
              </w:rPr>
            </w:pPr>
            <w:r>
              <w:rPr>
                <w:rFonts w:ascii="Arial" w:cs="Arial" w:eastAsia="Arial" w:hAnsi="Arial"/>
                <w:sz w:val="14"/>
                <w:szCs w:val="14"/>
                <w:color w:val="auto"/>
                <w:w w:val="94"/>
              </w:rPr>
              <w:t>10,750,762</w:t>
            </w: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59"/>
              <w:spacing w:after="0"/>
              <w:rPr>
                <w:sz w:val="20"/>
                <w:szCs w:val="20"/>
                <w:color w:val="auto"/>
              </w:rPr>
            </w:pPr>
            <w:r>
              <w:rPr>
                <w:rFonts w:ascii="Arial" w:cs="Arial" w:eastAsia="Arial" w:hAnsi="Arial"/>
                <w:sz w:val="14"/>
                <w:szCs w:val="14"/>
                <w:color w:val="auto"/>
                <w:w w:val="94"/>
              </w:rPr>
              <w:t>13,506,106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440" w:type="dxa"/>
            <w:vAlign w:val="bottom"/>
          </w:tcPr>
          <w:p>
            <w:pPr>
              <w:spacing w:after="0"/>
              <w:rPr>
                <w:sz w:val="20"/>
                <w:szCs w:val="20"/>
                <w:color w:val="auto"/>
              </w:rPr>
            </w:pPr>
            <w:r>
              <w:rPr>
                <w:rFonts w:ascii="Arial" w:cs="Arial" w:eastAsia="Arial" w:hAnsi="Arial"/>
                <w:sz w:val="14"/>
                <w:szCs w:val="14"/>
                <w:b w:val="1"/>
                <w:bCs w:val="1"/>
                <w:color w:val="auto"/>
              </w:rPr>
              <w:t>Supplemental disclosures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interest</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228,184</w:t>
            </w:r>
          </w:p>
        </w:tc>
        <w:tc>
          <w:tcPr>
            <w:tcW w:w="1000" w:type="dxa"/>
            <w:vAlign w:val="bottom"/>
            <w:shd w:val="clear" w:color="auto" w:fill="CCEEFF"/>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329,369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tcPr>
          <w:p>
            <w:pPr>
              <w:ind w:left="120"/>
              <w:spacing w:after="0"/>
              <w:rPr>
                <w:sz w:val="20"/>
                <w:szCs w:val="20"/>
                <w:color w:val="auto"/>
              </w:rPr>
            </w:pPr>
            <w:r>
              <w:rPr>
                <w:rFonts w:ascii="Arial" w:cs="Arial" w:eastAsia="Arial" w:hAnsi="Arial"/>
                <w:sz w:val="14"/>
                <w:szCs w:val="14"/>
                <w:color w:val="auto"/>
              </w:rPr>
              <w:t>Supplemental information on non-cash investing and financing activities:</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99"/>
              <w:spacing w:after="0"/>
              <w:rPr>
                <w:sz w:val="20"/>
                <w:szCs w:val="20"/>
                <w:color w:val="auto"/>
              </w:rPr>
            </w:pPr>
            <w:r>
              <w:rPr>
                <w:rFonts w:ascii="Arial" w:cs="Arial" w:eastAsia="Arial" w:hAnsi="Arial"/>
                <w:sz w:val="14"/>
                <w:szCs w:val="14"/>
                <w:color w:val="auto"/>
              </w:rPr>
              <w:t>260,682</w:t>
            </w:r>
          </w:p>
        </w:tc>
        <w:tc>
          <w:tcPr>
            <w:tcW w:w="1000" w:type="dxa"/>
            <w:vAlign w:val="bottom"/>
            <w:shd w:val="clear" w:color="auto" w:fill="CCEEFF"/>
          </w:tcPr>
          <w:p>
            <w:pPr>
              <w:jc w:val="right"/>
              <w:ind w:right="885"/>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993,622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condensed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186" w:lineRule="exact"/>
        <w:rPr>
          <w:sz w:val="20"/>
          <w:szCs w:val="20"/>
          <w:color w:val="auto"/>
        </w:rPr>
      </w:pPr>
    </w:p>
    <w:p>
      <w:pPr>
        <w:ind w:right="8400" w:firstLine="6"/>
        <w:spacing w:after="0" w:line="511" w:lineRule="auto"/>
        <w:tabs>
          <w:tab w:leader="none" w:pos="202" w:val="left"/>
        </w:tabs>
        <w:numPr>
          <w:ilvl w:val="0"/>
          <w:numId w:val="6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Nature of Business and Basis of Presentation Nature of Business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SAB Biotherapeutics, Inc. (“SAB” or the “Corporation”) is a clinical-stage biopharmaceutical company focused on the development and commercialization of a portfolio of products from its proprietary immunotherapy platform to produce fully targeted human polyclonal antibodies, without using human plasma or serum. SAB’s novel DiversitAb™ platform enables the rapid production of large amounts of targeted human polyclonal antibodies, leveraging transchromosomic cattle (Tc Bovine™) that have been genetically designed to produce human antibodies (immunoglobulin G) rather than bovine in response to an antigen. Animal antibodies have been made in rabbits, sheep and horses. However, SAB’s platform is the first to produce fully human antibodies in large animals.</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COVID-19 pandemic continues to evolve, and the extent to which it may impact the Corporation’s business will depend on future developments, which are highly uncertain and cannot be predicted with confidence, such as the ultimate geographic spread of the disease, the duration of the outbreak, travel restrictions and social distancing in the United States (“U.S.”) and other countries, business closures or business disruptions, and the effectiveness of actions taken in the U.S. and other countries to contain and treat the disease. The Corporation is following, and will continue to follow, recommendations from the U.S. Centers for Disease Control and Prevention, as well as federal, state, and local governments. To date, the Corporation has not experienced material business disruptions, but it cannot be certain of the future impact of the COVID-19 pandemic on its business and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condensed consolidated financial statements included in this report are unaudited and have been prepared in accordance with U.S. generally accepted accounting principles (“U.S. GAAP”) for interim financial reporting and U.S. Securities and Exchange Commission (“SEC”) regulations. The condensed consolidated balance sheet data as of December 31, 2020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condensed consolidated financial statements include all adjustments, which are of a normal recurring nature, necessary for a fair statement of the Corporation’s financial position as of September 30, 2021, and its results of operations, statement of changes in redeemable preferred stock and stockholders’ equity and cash flows for the nine months ended September 30, 2021 and 2020. The condensed consolidated financial statements for the nine months ended September 30, 2021 should be read in conjunction with the audited consolidated financial statements as of, and for the years ended, December 31, 2020 and 2019, included in the proxy statement/prospectus filed with the SEC on September 24, 2021. The results of operations for any interim period are not necessarily indicative of results for the full year.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Summary of Significant Accounting Policies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The Corporation’s significant accounting policies are disclosed in the audited consolidated financial statements as of, and for the years ended, December 31, 2020 and 2019, included in the proxy statement/prospectus filed with the SEC on September 24, 2021. Since the date of such audited consolidated financial statements, there have been no changes to the Corporation’s significant accounting policies, except as disclosed in Note 3, </w:t>
      </w:r>
      <w:r>
        <w:rPr>
          <w:rFonts w:ascii="Arial" w:cs="Arial" w:eastAsia="Arial" w:hAnsi="Arial"/>
          <w:sz w:val="14"/>
          <w:szCs w:val="14"/>
          <w:i w:val="1"/>
          <w:iCs w:val="1"/>
          <w:color w:val="auto"/>
        </w:rPr>
        <w:t>New Accounting Standards</w:t>
      </w:r>
      <w:r>
        <w:rPr>
          <w:rFonts w:ascii="Arial" w:cs="Arial" w:eastAsia="Arial" w:hAnsi="Arial"/>
          <w:sz w:val="14"/>
          <w:szCs w:val="14"/>
          <w:color w:val="auto"/>
        </w:rPr>
        <w:t>,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48" w:name="page149"/>
    <w:bookmarkEnd w:id="148"/>
    <w:p>
      <w:pPr>
        <w:ind w:right="9500" w:firstLine="6"/>
        <w:spacing w:after="0" w:line="597" w:lineRule="auto"/>
        <w:tabs>
          <w:tab w:leader="none" w:pos="202" w:val="left"/>
        </w:tabs>
        <w:numPr>
          <w:ilvl w:val="0"/>
          <w:numId w:val="6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New accounting standards Recently-adopted standards</w:t>
      </w:r>
    </w:p>
    <w:p>
      <w:pPr>
        <w:jc w:val="both"/>
        <w:spacing w:after="0" w:line="292" w:lineRule="auto"/>
        <w:rPr>
          <w:sz w:val="20"/>
          <w:szCs w:val="20"/>
          <w:color w:val="auto"/>
        </w:rPr>
      </w:pPr>
      <w:r>
        <w:rPr>
          <w:rFonts w:ascii="Arial" w:cs="Arial" w:eastAsia="Arial" w:hAnsi="Arial"/>
          <w:sz w:val="13"/>
          <w:szCs w:val="13"/>
          <w:color w:val="auto"/>
        </w:rPr>
        <w:t xml:space="preserve">In December 2019, the Financial Accounting Standards Board (“FASB”) issued Accounting Standards Update (“ASU”) 2019-12, </w:t>
      </w:r>
      <w:r>
        <w:rPr>
          <w:rFonts w:ascii="Arial" w:cs="Arial" w:eastAsia="Arial" w:hAnsi="Arial"/>
          <w:sz w:val="13"/>
          <w:szCs w:val="13"/>
          <w:i w:val="1"/>
          <w:iCs w:val="1"/>
          <w:color w:val="auto"/>
        </w:rPr>
        <w:t>Income Taxes (Topic 740): Simplifying the Accounting for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Taxes</w:t>
      </w:r>
      <w:r>
        <w:rPr>
          <w:rFonts w:ascii="Arial" w:cs="Arial" w:eastAsia="Arial" w:hAnsi="Arial"/>
          <w:sz w:val="13"/>
          <w:szCs w:val="13"/>
          <w:color w:val="auto"/>
        </w:rPr>
        <w:t>, which simplifies the accounting for income taxes by removing certain exceptions to the general principles in ASC Topic 740,</w:t>
      </w:r>
      <w:r>
        <w:rPr>
          <w:rFonts w:ascii="Arial" w:cs="Arial" w:eastAsia="Arial" w:hAnsi="Arial"/>
          <w:sz w:val="13"/>
          <w:szCs w:val="13"/>
          <w:i w:val="1"/>
          <w:iCs w:val="1"/>
          <w:color w:val="auto"/>
        </w:rPr>
        <w:t xml:space="preserve"> Income Taxes </w:t>
      </w:r>
      <w:r>
        <w:rPr>
          <w:rFonts w:ascii="Arial" w:cs="Arial" w:eastAsia="Arial" w:hAnsi="Arial"/>
          <w:sz w:val="13"/>
          <w:szCs w:val="13"/>
          <w:color w:val="auto"/>
        </w:rPr>
        <w:t>(“ASC 740”) and by clarifying and amending</w:t>
      </w:r>
      <w:r>
        <w:rPr>
          <w:rFonts w:ascii="Arial" w:cs="Arial" w:eastAsia="Arial" w:hAnsi="Arial"/>
          <w:sz w:val="13"/>
          <w:szCs w:val="13"/>
          <w:i w:val="1"/>
          <w:iCs w:val="1"/>
          <w:color w:val="auto"/>
        </w:rPr>
        <w:t xml:space="preserve"> </w:t>
      </w:r>
      <w:r>
        <w:rPr>
          <w:rFonts w:ascii="Arial" w:cs="Arial" w:eastAsia="Arial" w:hAnsi="Arial"/>
          <w:sz w:val="13"/>
          <w:szCs w:val="13"/>
          <w:color w:val="auto"/>
        </w:rPr>
        <w:t>existing ASC 740 guidance. The guidance was effective for fiscal years, and interim periods within those years, beginning after December 15, 2020. Early adoption was permitted. The Corporation adopted the guidance as of January 1, 2021. The adoption did not have a material impact on the Corporation’s condensed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Standards issued not yet adopted</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 Equity (Subtopic 815-40): Accounting for Convertible Instruments and Contracts in an Entity’s Own Equity</w:t>
      </w:r>
      <w:r>
        <w:rPr>
          <w:rFonts w:ascii="Arial" w:cs="Arial" w:eastAsia="Arial" w:hAnsi="Arial"/>
          <w:sz w:val="14"/>
          <w:szCs w:val="14"/>
          <w:color w:val="auto"/>
        </w:rPr>
        <w:t>, which simplifies the accounting for convertible instruments by removing major separation models required</w:t>
      </w:r>
      <w:r>
        <w:rPr>
          <w:rFonts w:ascii="Arial" w:cs="Arial" w:eastAsia="Arial" w:hAnsi="Arial"/>
          <w:sz w:val="14"/>
          <w:szCs w:val="14"/>
          <w:i w:val="1"/>
          <w:iCs w:val="1"/>
          <w:color w:val="auto"/>
        </w:rPr>
        <w:t xml:space="preserve"> </w:t>
      </w:r>
      <w:r>
        <w:rPr>
          <w:rFonts w:ascii="Arial" w:cs="Arial" w:eastAsia="Arial" w:hAnsi="Arial"/>
          <w:sz w:val="14"/>
          <w:szCs w:val="14"/>
          <w:color w:val="auto"/>
        </w:rPr>
        <w:t>under current GAAP. The guidance removes certain settlement conditions that are required for equity contracts to qualify for the derivative scope exception, which will permit more equity contracts to qualify for such exception and simplifies the diluted earnings per share calculation in certain areas. The guidance is effective for fiscal years beginning after December 15, 2021, including interim periods within those fiscal years. Early adoption is permitted in annual reporting periods ending after December 15, 2020. The Corporation is currently evaluating its adoption of the guidance and the impact that the guidance may have on its consolidated financial statements. The Corporation believes that the adoption of the guidance will not have a material impact on its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 Merger</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On June 21, 2021, the Corporation entered into an Agreement and Plan of Merger, as amended August 12, 2021 (as it may be amended or restated from time to time, the “Business Combination Agreement”) with Big Cypress Acquisition Corp. (“BCYP”) and Big Cypress Merger Sub Inc. (“Merger Sub”), a wholly-owned subsidiary of BCYP providing for, among other things, and subject to the terms and conditions therein, a business combination between the Corporation and BCYP pursuant to the proposed merger of Merger Sub with and into the Corporation, with the Corporation continuing as the surviving entity (the “Merger”). The Merger and the other transactions contemplated by the Business Combination Agreement are referred to as the “Business Combination.”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At the effective time of the Merger, and in accordance with the terms and subject to the conditions of the Business Combination Agreement:</w:t>
      </w:r>
    </w:p>
    <w:p>
      <w:pPr>
        <w:spacing w:after="0" w:line="182" w:lineRule="exact"/>
        <w:rPr>
          <w:sz w:val="20"/>
          <w:szCs w:val="20"/>
          <w:color w:val="auto"/>
        </w:rPr>
      </w:pPr>
    </w:p>
    <w:p>
      <w:pPr>
        <w:ind w:left="520" w:hanging="257"/>
        <w:spacing w:after="0" w:line="286"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outstanding share of the Corporation’s Common Stock and the Corporation’s Preferred Stock will be automatically cancelled, extinguished and converted into a number of shares of New SAB Biotherapeutics Common Stock, based on the Corporation’s Equity Value and a conversion rate of $10.10;</w:t>
      </w:r>
    </w:p>
    <w:p>
      <w:pPr>
        <w:spacing w:after="0" w:line="131" w:lineRule="exact"/>
        <w:rPr>
          <w:rFonts w:ascii="Arial" w:cs="Arial" w:eastAsia="Arial" w:hAnsi="Arial"/>
          <w:sz w:val="14"/>
          <w:szCs w:val="14"/>
          <w:color w:val="auto"/>
        </w:rPr>
      </w:pPr>
    </w:p>
    <w:p>
      <w:pPr>
        <w:jc w:val="both"/>
        <w:ind w:left="520" w:hanging="257"/>
        <w:spacing w:after="0" w:line="266"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holders of shares of the Corporation’s Common Stock and Preferred Stock will be entitled to receive their pro rata share of New SAB Biotherapeutics Common Stock being issued into escrow (the “Earnout Escrow Account”) at the closing (the “Earnout Shares”), which will be released if certain conditions are met within a five-year period following the closing of the Business Combination (the “Earnout Period”), pursuant to the terms and subject to the conditions set forth in the Business Combination Agreement and the Earnout Escrow Agreement; and</w:t>
      </w:r>
    </w:p>
    <w:p>
      <w:pPr>
        <w:spacing w:after="0" w:line="144" w:lineRule="exact"/>
        <w:rPr>
          <w:rFonts w:ascii="Arial" w:cs="Arial" w:eastAsia="Arial" w:hAnsi="Arial"/>
          <w:sz w:val="14"/>
          <w:szCs w:val="14"/>
          <w:color w:val="auto"/>
        </w:rPr>
      </w:pPr>
    </w:p>
    <w:p>
      <w:pPr>
        <w:jc w:val="both"/>
        <w:ind w:left="520" w:hanging="257"/>
        <w:spacing w:after="0" w:line="263"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outstanding vested and unvested option to purchase shares of the Corporation’s Common Stock will be canceled in exchange for a comparable option to purchase shares of New SAB Biotherapeutics Common Stock based on the equity value of SAB Biotherapeutics and based on a conversion rate of $10.10. In addition, the holders of such options shall also receive restricted stock units (the “Earnout RSUs”) which final number will be determined prior to closing based on the pro rata percentage that the Corporation’s options represent compared to the fully diluted share capital of SAB Biotherapeutics prior to closing. Each Earnout RSU will be settled in shares of New SAB Biotherapeutics Common Stock, subject to the same milestones applicable to the Earnout Shares.</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total maximum number of Earnout Shares and shares underlying the Earnout RSUs will be equal to 12,000,000 additional shares of New SAB Biotherapeutics Common Stock in the aggregate.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color w:val="auto"/>
        </w:rPr>
        <w:t>For purposes herein and the Business Combination Agreement, the Corporation’s equity value is deemed to be an agreed upon amount equal to $300 million.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refer to Note 15, </w:t>
      </w:r>
      <w:r>
        <w:rPr>
          <w:rFonts w:ascii="Arial" w:cs="Arial" w:eastAsia="Arial" w:hAnsi="Arial"/>
          <w:sz w:val="14"/>
          <w:szCs w:val="14"/>
          <w:i w:val="1"/>
          <w:iCs w:val="1"/>
          <w:color w:val="auto"/>
        </w:rPr>
        <w:t>Subsequent Events</w:t>
      </w:r>
      <w:r>
        <w:rPr>
          <w:rFonts w:ascii="Arial" w:cs="Arial" w:eastAsia="Arial" w:hAnsi="Arial"/>
          <w:sz w:val="14"/>
          <w:szCs w:val="14"/>
          <w:color w:val="auto"/>
        </w:rPr>
        <w:t>, for additional information on the Merger.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Revenue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Corporation received approximately 100% and 92% of its total revenue through grants from government organizations for the nine months ended September 30, 2021 and 2020, respectively, and approximately 0% and 8% of its total revenue through a grant from a non-government organization for the nine months ended September 30, 2021 and 2020, respectively. To date, no receivables have been written off.</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September 30, 2021 and 2020, the Corporation worked on the following grants: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grants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government grants was approximately $49.8 million and $27.1 million, respectively, for the nine months ended September 30, 2021 and 2020, respectively.</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National Institute of Health – National Institute of Allergy and Infectious Disease (“NIH-NIAID”) (Federal Award #1R44AI117976-01A1) – this grant was for $1.4 million and started in September 2019 through August 2021. For the nine months ended September 30, 2021 and 2020, there was approximately $457,000 and $219,000, respectively, in grant income recognized from this grant. The Corporation applied for an extension on the grant funding, which is pending approval. If approved, there is approximately $243,000 in funding remaining for this grant.</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NIH-NIAID (Federal Award #1R41AI131823-02) – this grant was for approximately $1.5 million and started in April 2019 through March 2021. The grant was subsequently amended to extend the date through March 2022. For the nine months ended September 30, 2021 and 2020, approximately $41,000 and $86,000, respectively, in grant income was recognized from this grant. Approximately $853,000 in funding remains for this grant.</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NIH-NIAID through Geneva Foundation (Federal Award #1R01AI132313-01, Subaward #S-10511-01) – this grant was for approximately $2.7 million and started in August 2017 through July 2021. For the nine months ended September 30, 2021 and 2020, there was approximately $72,000 and $248,000, respectively, in grant income recognized from this grant. The Corporation applied for an extension on the grant funding, which is pending approval. If approved, there is approximately $1.5 million in funding remains for this grant.</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Department of Defense, Joint Program Executive Office for Chemical, Biological, Radiological and Nuclear Defense Enabling Biotechnologies (“JPEO”) through Advanced Technology International – this grant was for a potential of $25 million, awarded in stages starting in August 2019 and with potential stages running through February 2023. Additional contract modifications were added to this contract in 2020 for work on a COVID therapeutic, bringing the contract total to $143 million. In September 2021, an additional modification for $60.5 million was added to this contract for advanced clinical development through licensure and commercial manufacturing, bringing the contract total to $204 million. For the nine months ended September 30, 2021 and 2020, approximately $49.2 million and $26.5 million, respectively, in grant income was recognized from this grant. Approximately $100.1 million in funding remains for this grant.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grants (non-government)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recorded no revenue for other grants (non-government) for the nine months ended September 30, 2021. The total revenue for other grants (non-government) was $2.4 million for the nine months ended September 30, 2020.</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CSL Behring – there were three contracts for a combined $2.4 million that were started and completed in 2020. These contracts were related to research and development for a COVID-19 therapeutic ($2 million) and two other targets ($400,000). For the nine months ended September 30, 2020, there was approximately $2.4 million in grant income recognized from this grant.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i w:val="1"/>
          <w:iCs w:val="1"/>
          <w:color w:val="auto"/>
        </w:rPr>
        <w:t>(6) Earnings (loss) per share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Since the Corporation reported a net loss for the nine months ended September 30, 2021, it was required by ASC 260 to use basic weighted-average common shares outstanding when calculating diluted net loss per share for the nine months ended September 30, 2021, as the potential common shares are antidilutive. In addition, since the Corporation reported a loss from operations for the nine months ended September 30, 2021, the shares of preferred stock were not deemed to be participating securities for the nine months ended September 30, 2021, pursuant to ASC 260. The Corporation’s participating securities contractually entitle the holders of such shares to participate in dividends but do not contractually require the holders of such shares to participate in losses of the Corporation.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the Corporation’s shareholders</w:t>
            </w:r>
          </w:p>
        </w:tc>
        <w:tc>
          <w:tcPr>
            <w:tcW w:w="23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5,593,035</w:t>
            </w:r>
          </w:p>
        </w:tc>
      </w:t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Weighted-average common shares outstanding - basic and diluted</w:t>
            </w:r>
          </w:p>
        </w:tc>
        <w:tc>
          <w:tcPr>
            <w:tcW w:w="230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35,216,000</w:t>
            </w:r>
          </w:p>
        </w:tc>
      </w:tr>
      <w:tr>
        <w:trPr>
          <w:trHeight w:val="172"/>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Loss per common share - basic and diluted</w:t>
            </w:r>
          </w:p>
        </w:tc>
        <w:tc>
          <w:tcPr>
            <w:tcW w:w="23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r>
    </w:tbl>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Options to purchase 10,062,381 shares of common stock and 20,604,636 shares of preferred stock were outstanding for the nine months ended September 30, 2021 but were not included in the computation of diluted net loss per share because their impact was antidilutive.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allocation of net income attributable to the Corporation’s shareholders for the nine months ended September 30, 2020 under the two-class method: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the Corporation’s shareholders</w:t>
            </w: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11,673,099</w:t>
            </w:r>
          </w:p>
        </w:tc>
        <w:tc>
          <w:tcPr>
            <w:tcW w:w="0" w:type="dxa"/>
            <w:vAlign w:val="bottom"/>
          </w:tcPr>
          <w:p>
            <w:pPr>
              <w:spacing w:after="0"/>
              <w:rPr>
                <w:sz w:val="1"/>
                <w:szCs w:val="1"/>
                <w:color w:val="auto"/>
              </w:rPr>
            </w:pPr>
          </w:p>
        </w:tc>
      </w:tr>
      <w:tr>
        <w:trPr>
          <w:trHeight w:val="182"/>
        </w:trPr>
        <w:tc>
          <w:tcPr>
            <w:tcW w:w="8120" w:type="dxa"/>
            <w:vAlign w:val="bottom"/>
          </w:tcPr>
          <w:p>
            <w:pPr>
              <w:spacing w:after="0"/>
              <w:rPr>
                <w:sz w:val="20"/>
                <w:szCs w:val="20"/>
                <w:color w:val="auto"/>
              </w:rPr>
            </w:pPr>
            <w:r>
              <w:rPr>
                <w:rFonts w:ascii="Arial" w:cs="Arial" w:eastAsia="Arial" w:hAnsi="Arial"/>
                <w:sz w:val="14"/>
                <w:szCs w:val="14"/>
                <w:color w:val="auto"/>
              </w:rPr>
              <w:t>Net income attributable to the Corporation’s shareholders applicable to preferred stock</w:t>
            </w:r>
          </w:p>
        </w:tc>
        <w:tc>
          <w:tcPr>
            <w:tcW w:w="68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4,080,661</w:t>
            </w:r>
          </w:p>
        </w:tc>
        <w:tc>
          <w:tcPr>
            <w:tcW w:w="0" w:type="dxa"/>
            <w:vAlign w:val="bottom"/>
          </w:tcPr>
          <w:p>
            <w:pPr>
              <w:spacing w:after="0"/>
              <w:rPr>
                <w:sz w:val="1"/>
                <w:szCs w:val="1"/>
                <w:color w:val="auto"/>
              </w:rPr>
            </w:pPr>
          </w:p>
        </w:tc>
      </w:tr>
      <w:tr>
        <w:trPr>
          <w:trHeight w:val="22"/>
        </w:trPr>
        <w:tc>
          <w:tcPr>
            <w:tcW w:w="8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income attributable to the Corporation’s shareholders applicable to common stock</w:t>
            </w:r>
          </w:p>
        </w:tc>
        <w:tc>
          <w:tcPr>
            <w:tcW w:w="6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2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7,592,438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reconciles the weighted-average common shares outstanding used in the calculation of basic earnings per share (“EPS”) to the weighted-average common shares outstanding used in the calculation of diluted EPS for the nine months ended September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20" w:type="dxa"/>
            <w:vAlign w:val="bottom"/>
          </w:tcPr>
          <w:p>
            <w:pPr>
              <w:spacing w:after="0"/>
              <w:rPr>
                <w:sz w:val="20"/>
                <w:szCs w:val="20"/>
                <w:color w:val="auto"/>
              </w:rPr>
            </w:pPr>
            <w:r>
              <w:rPr>
                <w:rFonts w:ascii="Arial" w:cs="Arial" w:eastAsia="Arial" w:hAnsi="Arial"/>
                <w:sz w:val="14"/>
                <w:szCs w:val="14"/>
                <w:color w:val="auto"/>
              </w:rPr>
              <w:t>Determination of shares:</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72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basic</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35,216,000</w:t>
            </w:r>
          </w:p>
        </w:tc>
        <w:tc>
          <w:tcPr>
            <w:tcW w:w="80" w:type="dxa"/>
            <w:vAlign w:val="bottom"/>
            <w:shd w:val="clear" w:color="auto" w:fill="CCEEFF"/>
          </w:tcPr>
          <w:p>
            <w:pPr>
              <w:spacing w:after="0"/>
              <w:rPr>
                <w:sz w:val="15"/>
                <w:szCs w:val="15"/>
                <w:color w:val="auto"/>
              </w:rPr>
            </w:pPr>
          </w:p>
        </w:tc>
      </w:tr>
      <w:tr>
        <w:trPr>
          <w:trHeight w:val="172"/>
        </w:trPr>
        <w:tc>
          <w:tcPr>
            <w:tcW w:w="7220" w:type="dxa"/>
            <w:vAlign w:val="bottom"/>
          </w:tcPr>
          <w:p>
            <w:pPr>
              <w:spacing w:after="0"/>
              <w:rPr>
                <w:sz w:val="20"/>
                <w:szCs w:val="20"/>
                <w:color w:val="auto"/>
              </w:rPr>
            </w:pPr>
            <w:r>
              <w:rPr>
                <w:rFonts w:ascii="Arial" w:cs="Arial" w:eastAsia="Arial" w:hAnsi="Arial"/>
                <w:sz w:val="14"/>
                <w:szCs w:val="14"/>
                <w:color w:val="auto"/>
              </w:rPr>
              <w:t>Assumed conversion of preferred stock</w:t>
            </w:r>
          </w:p>
        </w:tc>
        <w:tc>
          <w:tcPr>
            <w:tcW w:w="1720" w:type="dxa"/>
            <w:vAlign w:val="bottom"/>
          </w:tcPr>
          <w:p>
            <w:pPr>
              <w:jc w:val="right"/>
              <w:spacing w:after="0"/>
              <w:rPr>
                <w:sz w:val="20"/>
                <w:szCs w:val="20"/>
                <w:color w:val="auto"/>
              </w:rPr>
            </w:pPr>
            <w:r>
              <w:rPr>
                <w:rFonts w:ascii="Arial" w:cs="Arial" w:eastAsia="Arial" w:hAnsi="Arial"/>
                <w:sz w:val="14"/>
                <w:szCs w:val="14"/>
                <w:color w:val="auto"/>
              </w:rPr>
              <w:t>18,927,326</w:t>
            </w:r>
          </w:p>
        </w:tc>
        <w:tc>
          <w:tcPr>
            <w:tcW w:w="80" w:type="dxa"/>
            <w:vAlign w:val="bottom"/>
          </w:tcPr>
          <w:p>
            <w:pPr>
              <w:spacing w:after="0"/>
              <w:rPr>
                <w:sz w:val="14"/>
                <w:szCs w:val="14"/>
                <w:color w:val="auto"/>
              </w:rPr>
            </w:pPr>
          </w:p>
        </w:tc>
      </w:tr>
      <w:tr>
        <w:trPr>
          <w:trHeight w:val="202"/>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Dilutive effect of equity awards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4,353,350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64"/>
        </w:trPr>
        <w:tc>
          <w:tcPr>
            <w:tcW w:w="722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58,496,676</w:t>
            </w:r>
          </w:p>
        </w:tc>
        <w:tc>
          <w:tcPr>
            <w:tcW w:w="80" w:type="dxa"/>
            <w:vAlign w:val="bottom"/>
          </w:tcPr>
          <w:p>
            <w:pPr>
              <w:spacing w:after="0"/>
              <w:rPr>
                <w:sz w:val="14"/>
                <w:szCs w:val="14"/>
                <w:color w:val="auto"/>
              </w:rPr>
            </w:pPr>
          </w:p>
        </w:tc>
      </w:tr>
      <w:tr>
        <w:trPr>
          <w:trHeight w:val="20"/>
        </w:trPr>
        <w:tc>
          <w:tcPr>
            <w:tcW w:w="7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calculation of basic and diluted EPS for the Corporation’s common stock for the nine months ended September 30,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Calculation of basic EPS attributable to the Corporation’s shareholders</w:t>
            </w:r>
          </w:p>
        </w:tc>
        <w:tc>
          <w:tcPr>
            <w:tcW w:w="35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w w:val="97"/>
              </w:rPr>
              <w:t>Net income attributable to the Corporation’s shareholders applicable to common stock</w:t>
            </w:r>
          </w:p>
        </w:tc>
        <w:tc>
          <w:tcPr>
            <w:tcW w:w="3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7,592,438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basic</w:t>
            </w:r>
          </w:p>
        </w:tc>
        <w:tc>
          <w:tcPr>
            <w:tcW w:w="35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35,216,000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Basic EPS</w:t>
            </w:r>
          </w:p>
        </w:tc>
        <w:tc>
          <w:tcPr>
            <w:tcW w:w="3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Calculation of diluted EPS attributable to the Corporation’s shareholders</w:t>
            </w:r>
          </w:p>
        </w:tc>
        <w:tc>
          <w:tcPr>
            <w:tcW w:w="35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Net income attributable to the Corporation’s shareholders</w:t>
            </w:r>
          </w:p>
        </w:tc>
        <w:tc>
          <w:tcPr>
            <w:tcW w:w="3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11,673,099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diluted</w:t>
            </w:r>
          </w:p>
        </w:tc>
        <w:tc>
          <w:tcPr>
            <w:tcW w:w="35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58,496,676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4"/>
                <w:szCs w:val="14"/>
                <w:color w:val="auto"/>
              </w:rPr>
              <w:t>Diluted EPS</w:t>
            </w:r>
          </w:p>
        </w:tc>
        <w:tc>
          <w:tcPr>
            <w:tcW w:w="35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2948"/>
              <w:spacing w:after="0"/>
              <w:rPr>
                <w:sz w:val="20"/>
                <w:szCs w:val="20"/>
                <w:color w:val="auto"/>
              </w:rPr>
            </w:pPr>
            <w:r>
              <w:rPr>
                <w:rFonts w:ascii="Arial" w:cs="Arial" w:eastAsia="Arial" w:hAnsi="Arial"/>
                <w:sz w:val="14"/>
                <w:szCs w:val="14"/>
                <w:color w:val="auto"/>
              </w:rPr>
              <w:t>F-38</w:t>
            </w:r>
          </w:p>
        </w:tc>
        <w:tc>
          <w:tcPr>
            <w:tcW w:w="1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8" w:right="31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(7) Equipment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5060" w:type="dxa"/>
            <w:vAlign w:val="bottom"/>
            <w:gridSpan w:val="2"/>
          </w:tcPr>
          <w:p>
            <w:pPr>
              <w:spacing w:after="0"/>
              <w:rPr>
                <w:sz w:val="20"/>
                <w:szCs w:val="20"/>
                <w:color w:val="auto"/>
              </w:rPr>
            </w:pPr>
            <w:r>
              <w:rPr>
                <w:rFonts w:ascii="Arial" w:cs="Arial" w:eastAsia="Arial" w:hAnsi="Arial"/>
                <w:sz w:val="14"/>
                <w:szCs w:val="14"/>
                <w:color w:val="auto"/>
              </w:rPr>
              <w:t>As of September 30, 2021 and December 31, 2020, equipment was as follows: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6,997,964</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5,205,346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Animal facility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6,267,498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3,371,125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Animal facility equipment</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1,197,366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1,003,629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Construction-in-progress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4,922,079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6,729,673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5,605,847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185,971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color w:val="auto"/>
              </w:rPr>
              <w:t>Vehicles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135,593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96,693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rPr>
              <w:t>Office furniture and equipment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46,202</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4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25,172,549</w:t>
            </w:r>
          </w:p>
        </w:tc>
        <w:tc>
          <w:tcPr>
            <w:tcW w:w="2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16,612,656</w:t>
            </w: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2,604,072</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1,767,186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22,568,477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14,845,470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expense for the nine months ended September 30, 2021 and 2020 was $868,630 and $223,888, respectively.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has several ongoing construction projects related to the expansion of its operating capacity. As of September 30, 2021 and December 31, 2020, the Corporation’s construction-in-progress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September 30,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2"/>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200L commercial facility</w:t>
            </w:r>
          </w:p>
        </w:tc>
        <w:tc>
          <w:tcPr>
            <w:tcW w:w="1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4,148,113</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200L commercial facility, equipment</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1,658,189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486,381</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New animal barn (#6)</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1,551,167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New animal barn (#7)</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2,093,263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New office space (at Headquarters)</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477,907</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New laboratory space (at Headquarters)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922,077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New laboratory space, equipment</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60,448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4"/>
                <w:szCs w:val="14"/>
                <w:color w:val="auto"/>
              </w:rPr>
              <w:t>Software</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137,811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50,291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66,105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Total construction-in-progress</w:t>
            </w: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0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4,922,079</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6,729,673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Construction on the 200L commercial facility was completed in September 2021. As of September 30, 2021, validation of the 200L commercial facility equipment was still in progress and expected delivery and installation of the equipment is expected to be complete by December 31, 2021. Construction of the first new animal barn (#6) was completed in July 2021, and the second new animal barn (#7) is expected to be complete by December 31, 2021. Construction of the new office space (at Headquarters) was completed in August 2021. The new laboratory space (at Headquarters) is expected to be complete by December 31, 2021. Expected delivery, installation, and validation of equipment for the new laboratory space (at Headquarters) is expected to be complete in the first quarter of 2022. The installation and programming of the new ERP software (SAP) is expected to be complete in the third quarter of 2022.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i w:val="1"/>
          <w:iCs w:val="1"/>
          <w:color w:val="auto"/>
        </w:rPr>
        <w:t>(8) Leases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Corporation’s leases are disclosed in the audited consolidated financial statements as of, and for the years ended, December 31, 2020 and 2019, included in the proxy statement/prospectus filed with the SEC on September 24, 2021.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Corporation’s weighted-average remaining lease term and weighted-average discount rate for operating and finance leases as of September 30,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Operating</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Finance</w:t>
            </w:r>
          </w:p>
        </w:tc>
      </w:tr>
      <w:tr>
        <w:trPr>
          <w:trHeight w:val="172"/>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 years</w:t>
            </w: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 years</w:t>
            </w:r>
          </w:p>
        </w:tc>
        <w:tc>
          <w:tcPr>
            <w:tcW w:w="140" w:type="dxa"/>
            <w:vAlign w:val="bottom"/>
            <w:tcBorders>
              <w:top w:val="single" w:sz="8" w:color="CCEEFF"/>
            </w:tcBorders>
            <w:shd w:val="clear" w:color="auto" w:fill="CCEEFF"/>
          </w:tcPr>
          <w:p>
            <w:pPr>
              <w:spacing w:after="0"/>
              <w:rPr>
                <w:sz w:val="14"/>
                <w:szCs w:val="14"/>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4"/>
                <w:szCs w:val="14"/>
                <w:color w:val="auto"/>
              </w:rPr>
              <w:t>Weighted-average discount rate</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4.74%</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7.70%</w:t>
            </w:r>
          </w:p>
        </w:tc>
      </w:tr>
    </w:tbl>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table below reconciles the undiscounted future minimum lease payments under non-cancelable leases with terms of more than one year to the total lease liabilities recognized on the condensed consolidated balance sheet as of 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Finance</w:t>
            </w:r>
          </w:p>
        </w:tc>
      </w:tr>
      <w:tr>
        <w:trPr>
          <w:trHeight w:val="17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 (remaining three months)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285,481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128,861</w:t>
            </w: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1,138,368</w:t>
            </w:r>
          </w:p>
        </w:tc>
        <w:tc>
          <w:tcPr>
            <w:tcW w:w="2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449,159</w:t>
            </w: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1,067,594</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406,339</w:t>
            </w: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467,968</w:t>
            </w:r>
          </w:p>
        </w:tc>
        <w:tc>
          <w:tcPr>
            <w:tcW w:w="2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401,496</w:t>
            </w: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401,496</w:t>
            </w:r>
          </w:p>
        </w:tc>
      </w:tr>
      <w:tr>
        <w:trPr>
          <w:trHeight w:val="184"/>
        </w:trPr>
        <w:tc>
          <w:tcPr>
            <w:tcW w:w="5220" w:type="dxa"/>
            <w:vAlign w:val="bottom"/>
          </w:tcPr>
          <w:p>
            <w:pPr>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5,185,990</w:t>
            </w:r>
          </w:p>
        </w:tc>
        <w:tc>
          <w:tcPr>
            <w:tcW w:w="80" w:type="dxa"/>
            <w:vAlign w:val="bottom"/>
          </w:tcPr>
          <w:p>
            <w:pPr>
              <w:spacing w:after="0"/>
              <w:rPr>
                <w:sz w:val="15"/>
                <w:szCs w:val="15"/>
                <w:color w:val="auto"/>
              </w:rPr>
            </w:pPr>
          </w:p>
        </w:tc>
      </w:tr>
      <w:tr>
        <w:trPr>
          <w:trHeight w:val="17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Undiscounted future minimum lease payments</w:t>
            </w: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2,959,411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6,973,341</w:t>
            </w: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Less: Amount representing interest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Payments</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(170,673)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(2,989,666)</w:t>
            </w:r>
          </w:p>
        </w:tc>
      </w:tr>
      <w:tr>
        <w:trPr>
          <w:trHeight w:val="154"/>
        </w:trPr>
        <w:tc>
          <w:tcPr>
            <w:tcW w:w="522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Total lease liabilities</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2,788,738</w:t>
            </w:r>
          </w:p>
        </w:tc>
        <w:tc>
          <w:tcPr>
            <w:tcW w:w="22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3,983,675</w:t>
            </w:r>
          </w:p>
        </w:tc>
        <w:tc>
          <w:tcPr>
            <w:tcW w:w="80" w:type="dxa"/>
            <w:vAlign w:val="bottom"/>
            <w:tcBorders>
              <w:top w:val="single" w:sz="8" w:color="CCEEFF"/>
            </w:tcBorders>
          </w:tcPr>
          <w:p>
            <w:pPr>
              <w:spacing w:after="0"/>
              <w:rPr>
                <w:sz w:val="13"/>
                <w:szCs w:val="13"/>
                <w:color w:val="auto"/>
              </w:rPr>
            </w:pPr>
          </w:p>
        </w:tc>
      </w:tr>
      <w:tr>
        <w:trPr>
          <w:trHeight w:val="20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Less current portion</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(1,035,211)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(180,243)</w:t>
            </w:r>
          </w:p>
        </w:tc>
      </w:tr>
      <w:tr>
        <w:trPr>
          <w:trHeight w:val="164"/>
        </w:trPr>
        <w:tc>
          <w:tcPr>
            <w:tcW w:w="52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Noncurrent lease liabilities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1,753,527</w:t>
            </w: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3,803,432</w:t>
            </w:r>
          </w:p>
        </w:tc>
        <w:tc>
          <w:tcPr>
            <w:tcW w:w="80" w:type="dxa"/>
            <w:vAlign w:val="bottom"/>
            <w:tcBorders>
              <w:top w:val="single" w:sz="8" w:color="CCEEFF"/>
            </w:tcBorders>
          </w:tcPr>
          <w:p>
            <w:pPr>
              <w:spacing w:after="0"/>
              <w:rPr>
                <w:sz w:val="14"/>
                <w:szCs w:val="14"/>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Operating lease expense was approximately $789,000 and $491,000, respectively, for the nine months ended September 30, 2021 and 2020. Operating lease costs are included within research and development expenses on the condensed consolidated statements of operations.</w:t>
      </w:r>
    </w:p>
    <w:p>
      <w:pPr>
        <w:spacing w:after="0" w:line="131" w:lineRule="exact"/>
        <w:rPr>
          <w:sz w:val="20"/>
          <w:szCs w:val="20"/>
          <w:color w:val="auto"/>
        </w:rPr>
      </w:pPr>
    </w:p>
    <w:p>
      <w:pPr>
        <w:spacing w:after="0" w:line="326" w:lineRule="auto"/>
        <w:rPr>
          <w:sz w:val="20"/>
          <w:szCs w:val="20"/>
          <w:color w:val="auto"/>
        </w:rPr>
      </w:pPr>
      <w:r>
        <w:rPr>
          <w:rFonts w:ascii="Arial" w:cs="Arial" w:eastAsia="Arial" w:hAnsi="Arial"/>
          <w:sz w:val="13"/>
          <w:szCs w:val="13"/>
          <w:color w:val="auto"/>
        </w:rPr>
        <w:t>Finance lease costs for the nine months ended September 30, 2021 and 2020 included approximately $124,000, for each period, in right-of-use asset amortization and approximately $228,000 and $232,000, respectively, of interest expense. Finance lease costs are included within research and development expenses on the condensed consolidated statements of operations.</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Cash payments under operating and finance leases were approximately $836,000 and $372,000, respectively, for the nine months ended September 30, 2021. Cash payments under operating and finance leases were approximately $338,000 and $362,000, respectively, for the nine months ended September 30, 2020.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(9) Accrued Expenses and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2021 and December 31, 2020, accrued expenses and other current liabilities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380" w:type="dxa"/>
            <w:vAlign w:val="bottom"/>
          </w:tcPr>
          <w:p>
            <w:pPr>
              <w:spacing w:after="0"/>
              <w:rPr>
                <w:sz w:val="14"/>
                <w:szCs w:val="14"/>
                <w:color w:val="auto"/>
              </w:rPr>
            </w:pPr>
          </w:p>
        </w:tc>
      </w:tr>
      <w:tr>
        <w:trPr>
          <w:trHeight w:val="188"/>
        </w:trPr>
        <w:tc>
          <w:tcPr>
            <w:tcW w:w="34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380" w:type="dxa"/>
            <w:vAlign w:val="bottom"/>
          </w:tcPr>
          <w:p>
            <w:pPr>
              <w:spacing w:after="0"/>
              <w:rPr>
                <w:sz w:val="16"/>
                <w:szCs w:val="16"/>
                <w:color w:val="auto"/>
              </w:rPr>
            </w:pPr>
          </w:p>
        </w:tc>
      </w:tr>
      <w:tr>
        <w:trPr>
          <w:trHeight w:val="17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Accrued vacation</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673,541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438,936</w:t>
            </w:r>
          </w:p>
        </w:tc>
        <w:tc>
          <w:tcPr>
            <w:tcW w:w="80" w:type="dxa"/>
            <w:vAlign w:val="bottom"/>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Accrued payroll</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208,105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314,451</w:t>
            </w:r>
          </w:p>
        </w:tc>
        <w:tc>
          <w:tcPr>
            <w:tcW w:w="3380" w:type="dxa"/>
            <w:vAlign w:val="bottom"/>
          </w:tcPr>
          <w:p>
            <w:pPr>
              <w:spacing w:after="0"/>
              <w:rPr>
                <w:sz w:val="14"/>
                <w:szCs w:val="14"/>
                <w:color w:val="auto"/>
              </w:rPr>
            </w:pPr>
          </w:p>
        </w:tc>
      </w:tr>
      <w:tr>
        <w:trPr>
          <w:trHeight w:val="17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Accrued construction-in-progress</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87,926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637,776</w:t>
            </w:r>
          </w:p>
        </w:tc>
        <w:tc>
          <w:tcPr>
            <w:tcW w:w="3380" w:type="dxa"/>
            <w:vAlign w:val="bottom"/>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Accrued supplies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1,261,696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301,989</w:t>
            </w:r>
          </w:p>
        </w:tc>
        <w:tc>
          <w:tcPr>
            <w:tcW w:w="3380" w:type="dxa"/>
            <w:vAlign w:val="bottom"/>
          </w:tcPr>
          <w:p>
            <w:pPr>
              <w:spacing w:after="0"/>
              <w:rPr>
                <w:sz w:val="14"/>
                <w:szCs w:val="14"/>
                <w:color w:val="auto"/>
              </w:rPr>
            </w:pPr>
          </w:p>
        </w:tc>
      </w:tr>
      <w:tr>
        <w:trPr>
          <w:trHeight w:val="17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Accrued contract manufacturing</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1,709,964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Accrued clinical trial expense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338,802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Accrued outside lab services</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85,764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3420" w:type="dxa"/>
            <w:vAlign w:val="bottom"/>
          </w:tcPr>
          <w:p>
            <w:pPr>
              <w:spacing w:after="0"/>
              <w:rPr>
                <w:sz w:val="20"/>
                <w:szCs w:val="20"/>
                <w:color w:val="auto"/>
              </w:rPr>
            </w:pPr>
            <w:r>
              <w:rPr>
                <w:rFonts w:ascii="Arial" w:cs="Arial" w:eastAsia="Arial" w:hAnsi="Arial"/>
                <w:sz w:val="14"/>
                <w:szCs w:val="14"/>
                <w:color w:val="auto"/>
              </w:rPr>
              <w:t>Accrued professional services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470,476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120,744</w:t>
            </w:r>
          </w:p>
        </w:tc>
        <w:tc>
          <w:tcPr>
            <w:tcW w:w="3380" w:type="dxa"/>
            <w:vAlign w:val="bottom"/>
          </w:tcPr>
          <w:p>
            <w:pPr>
              <w:spacing w:after="0"/>
              <w:rPr>
                <w:sz w:val="14"/>
                <w:szCs w:val="14"/>
                <w:color w:val="auto"/>
              </w:rPr>
            </w:pPr>
          </w:p>
        </w:tc>
      </w:tr>
      <w:tr>
        <w:trPr>
          <w:trHeight w:val="17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Accrued animal care expense</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128,028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4"/>
                <w:szCs w:val="14"/>
                <w:color w:val="auto"/>
              </w:rPr>
              <w:t>Other accrued expenses</w:t>
            </w: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44,797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90,982</w:t>
            </w:r>
          </w:p>
        </w:tc>
        <w:tc>
          <w:tcPr>
            <w:tcW w:w="3380" w:type="dxa"/>
            <w:vAlign w:val="bottom"/>
          </w:tcPr>
          <w:p>
            <w:pPr>
              <w:spacing w:after="0"/>
              <w:rPr>
                <w:sz w:val="15"/>
                <w:szCs w:val="15"/>
                <w:color w:val="auto"/>
              </w:rPr>
            </w:pPr>
          </w:p>
        </w:tc>
      </w:tr>
      <w:tr>
        <w:trPr>
          <w:trHeight w:val="172"/>
        </w:trPr>
        <w:tc>
          <w:tcPr>
            <w:tcW w:w="34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93"/>
        </w:trPr>
        <w:tc>
          <w:tcPr>
            <w:tcW w:w="3420" w:type="dxa"/>
            <w:vAlign w:val="bottom"/>
          </w:tcPr>
          <w:p>
            <w:pPr>
              <w:spacing w:after="0"/>
              <w:rPr>
                <w:sz w:val="16"/>
                <w:szCs w:val="16"/>
                <w:color w:val="auto"/>
              </w:rPr>
            </w:pPr>
          </w:p>
        </w:tc>
        <w:tc>
          <w:tcPr>
            <w:tcW w:w="16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5,009,099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1,904,878</w:t>
            </w:r>
          </w:p>
        </w:tc>
        <w:tc>
          <w:tcPr>
            <w:tcW w:w="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0"/>
        </w:trPr>
        <w:tc>
          <w:tcPr>
            <w:tcW w:w="3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17"/>
        </w:trPr>
        <w:tc>
          <w:tcPr>
            <w:tcW w:w="3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color w:val="auto"/>
              </w:rPr>
              <w:t>F-40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8" w:right="31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(10) Debt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4580" w:type="dxa"/>
            <w:vAlign w:val="bottom"/>
            <w:gridSpan w:val="2"/>
          </w:tcPr>
          <w:p>
            <w:pPr>
              <w:spacing w:after="0"/>
              <w:rPr>
                <w:sz w:val="20"/>
                <w:szCs w:val="20"/>
                <w:color w:val="auto"/>
              </w:rPr>
            </w:pPr>
            <w:r>
              <w:rPr>
                <w:rFonts w:ascii="Arial" w:cs="Arial" w:eastAsia="Arial" w:hAnsi="Arial"/>
                <w:sz w:val="14"/>
                <w:szCs w:val="14"/>
                <w:color w:val="auto"/>
              </w:rPr>
              <w:t>As of September 30, 2021 and December 31, 2020, debt was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Tractor loan</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49,156</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49,156</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PPP loan</w:t>
            </w:r>
          </w:p>
        </w:tc>
        <w:tc>
          <w:tcPr>
            <w:tcW w:w="20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661,612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debt</w:t>
            </w: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49,156</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710,768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Less: current portion of debt</w:t>
            </w:r>
          </w:p>
        </w:tc>
        <w:tc>
          <w:tcPr>
            <w:tcW w:w="2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24,143</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538,731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Long-term debt, net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March 2021, the U.S. Small Business Administration (“SBA”) approved the forgiveness of the Paycheck Protection Program (“PPP”) Loan, plus accrued interest. The Corporation recorded a gain on extinguishment of PPP Loan of $661,612 for the forgiveness of the PPP Loan within other income on the condensed consolidated statement of operations for the nine months ended September 30, 2021.</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Please refer to the audited consolidated financial statements as of, and for the years ended, December 31, 2020 and 2019, included in the proxy statement/prospectus filed with the SEC on September 24, 2021 for additional information on the Corporation’s debt.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 Stock Option Plan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5, 2014, the Corporation approved a stock option grant plan (the “Plan”) for employees, directors, and non-employee consultants, which provides for the issuance of options to purchase common stock. The total shares authorized under the plan was originally 8,000,000; however, during 2019, the Plan was amended to increase the total shares authorized under the plan to 16,000,000.</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Vesting of the stock options is based upon years of service (employment). As of September 30, 2021 and December 31, 2020, 7,896,284 and 6,882,575 stock options, respectively, were vested and exercisable. None of the vested stock options were exercised as of September 30, 2021 and December 31, 2020. As of September 30, 2021, the aggregate intrinsic value of stock options outstanding was $41,291,069, of which $7,209,646 was unvested and $34,081,423 was vested and exercisable.</w:t>
      </w:r>
    </w:p>
    <w:p>
      <w:pPr>
        <w:spacing w:after="0" w:line="14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Corporation uses the Black Scholes model to estimate the fair value of the stock options granted. For stock options granted for the nine months ended September 30, 2021 and 2020, the Corporation utilized the following weighted-average assumptions: A risk free interest rate of 0.14% and 0.13%, respectively; expected term of 6.25 years (both years); expected dividend yield of 0% (both years); and a volatility factor of 99.7% and 106.1%, respectively. There were 651,527 in stock options forfeitures for the nine months ended September 30, 2021. There were no stock option expirations for the nine months ended September 30, 2021, and no stock option forfeitures or stock option expirations for the nine months ended September 30, 2020.</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expected term of the stock options was estimated using the “simplified” method, as defined by the Securities and Exchange Commission’s Staff Accounting Bulletin No. 107, Share-Based Payment. The volatility assumption was determined by examining the historical volatilities for industry peer companies, as the Corporation does not have sufficient trading history for its common stock. The risk-free interest rate assumption is based on the U.S. Treasury instruments whose term was consistent with the expected term of the options. The dividend assumption is based on the Corporation’s history and expectation of dividend payouts. The Corporation has never paid dividends on its common stock and does not anticipate paying dividends on its common stock in the foreseeable future. Therefore, the Corporation has assumed no dividend yield for purposes of estimating the fair value of the options.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color w:val="auto"/>
        </w:rPr>
        <w:t>Stock option activity for employees and non-employees under the Plan for the nine months ended September 30, 2021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Options</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Balance, December 31, 2020</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8,815,992</w:t>
            </w:r>
          </w:p>
        </w:tc>
        <w:tc>
          <w:tcPr>
            <w:tcW w:w="1400" w:type="dxa"/>
            <w:vAlign w:val="bottom"/>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0.62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Granted</w:t>
            </w:r>
          </w:p>
        </w:tc>
        <w:tc>
          <w:tcPr>
            <w:tcW w:w="2040" w:type="dxa"/>
            <w:vAlign w:val="bottom"/>
            <w:gridSpan w:val="2"/>
          </w:tcPr>
          <w:p>
            <w:pPr>
              <w:jc w:val="right"/>
              <w:ind w:right="340"/>
              <w:spacing w:after="0"/>
              <w:rPr>
                <w:sz w:val="20"/>
                <w:szCs w:val="20"/>
                <w:color w:val="auto"/>
              </w:rPr>
            </w:pPr>
            <w:r>
              <w:rPr>
                <w:rFonts w:ascii="Arial" w:cs="Arial" w:eastAsia="Arial" w:hAnsi="Arial"/>
                <w:sz w:val="14"/>
                <w:szCs w:val="14"/>
                <w:color w:val="auto"/>
              </w:rPr>
              <w:t>1,897,916</w:t>
            </w:r>
          </w:p>
        </w:tc>
        <w:tc>
          <w:tcPr>
            <w:tcW w:w="1400" w:type="dxa"/>
            <w:vAlign w:val="bottom"/>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2.43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(651,527)</w:t>
            </w:r>
          </w:p>
        </w:tc>
        <w:tc>
          <w:tcPr>
            <w:tcW w:w="1400" w:type="dxa"/>
            <w:vAlign w:val="bottom"/>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1.09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Balance, September 30, 2021</w:t>
            </w: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vMerge w:val="restart"/>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CCEEFF"/>
            </w:tcBorders>
            <w:gridSpan w:val="2"/>
            <w:vMerge w:val="restart"/>
          </w:tcPr>
          <w:p>
            <w:pPr>
              <w:jc w:val="right"/>
              <w:ind w:right="340"/>
              <w:spacing w:after="0"/>
              <w:rPr>
                <w:sz w:val="20"/>
                <w:szCs w:val="20"/>
                <w:color w:val="auto"/>
              </w:rPr>
            </w:pPr>
            <w:r>
              <w:rPr>
                <w:rFonts w:ascii="Arial" w:cs="Arial" w:eastAsia="Arial" w:hAnsi="Arial"/>
                <w:sz w:val="14"/>
                <w:szCs w:val="14"/>
                <w:color w:val="auto"/>
                <w:w w:val="95"/>
              </w:rPr>
              <w:t>0.93</w:t>
            </w:r>
          </w:p>
        </w:tc>
        <w:tc>
          <w:tcPr>
            <w:tcW w:w="160" w:type="dxa"/>
            <w:vAlign w:val="bottom"/>
            <w:tcBorders>
              <w:top w:val="single" w:sz="8" w:color="CCEEFF"/>
            </w:tcBorders>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CCEEFF"/>
            </w:tcBorders>
            <w:gridSpan w:val="2"/>
            <w:vMerge w:val="restart"/>
          </w:tcPr>
          <w:p>
            <w:pPr>
              <w:jc w:val="right"/>
              <w:ind w:right="10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4"/>
                <w:szCs w:val="14"/>
                <w:color w:val="auto"/>
              </w:rPr>
              <w:t>10,062,381</w:t>
            </w:r>
          </w:p>
        </w:tc>
        <w:tc>
          <w:tcPr>
            <w:tcW w:w="14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Unvested at September 30, 2021</w:t>
            </w:r>
          </w:p>
        </w:tc>
        <w:tc>
          <w:tcPr>
            <w:tcW w:w="17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2,166,097</w:t>
            </w:r>
          </w:p>
        </w:tc>
        <w:tc>
          <w:tcPr>
            <w:tcW w:w="3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CCEEFF"/>
            </w:tcBorders>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w w:val="95"/>
              </w:rPr>
              <w:t>1.94</w:t>
            </w:r>
          </w:p>
        </w:tc>
        <w:tc>
          <w:tcPr>
            <w:tcW w:w="160" w:type="dxa"/>
            <w:vAlign w:val="bottom"/>
            <w:tcBorders>
              <w:top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CCEEFF"/>
            </w:tcBorders>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4"/>
                <w:szCs w:val="14"/>
                <w:color w:val="auto"/>
              </w:rPr>
              <w:t>Vested and exercisable at September 30, 2021</w:t>
            </w:r>
          </w:p>
        </w:tc>
        <w:tc>
          <w:tcPr>
            <w:tcW w:w="2040" w:type="dxa"/>
            <w:vAlign w:val="bottom"/>
            <w:gridSpan w:val="2"/>
          </w:tcPr>
          <w:p>
            <w:pPr>
              <w:jc w:val="right"/>
              <w:ind w:right="340"/>
              <w:spacing w:after="0"/>
              <w:rPr>
                <w:sz w:val="20"/>
                <w:szCs w:val="20"/>
                <w:color w:val="auto"/>
              </w:rPr>
            </w:pPr>
            <w:r>
              <w:rPr>
                <w:rFonts w:ascii="Arial" w:cs="Arial" w:eastAsia="Arial" w:hAnsi="Arial"/>
                <w:sz w:val="14"/>
                <w:szCs w:val="14"/>
                <w:color w:val="auto"/>
              </w:rPr>
              <w:t>7,896,284</w:t>
            </w:r>
          </w:p>
        </w:tc>
        <w:tc>
          <w:tcPr>
            <w:tcW w:w="1400" w:type="dxa"/>
            <w:vAlign w:val="bottom"/>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0.54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Total unrecognized compensation cost related to non-vested stock options as of September 30, 2021 was approximately $4.2 million and is expected to be recognized within future operating results over a weighted-average period of 2.34 years. As of September 30, 2021, the weighted-average contractual term of the options outstanding was approximately 5.68 years. As of September 30, 2021, the weighted-average contractual term of the vested options was approximately 4.74. For the nine months ended September 30, 2021 and 2020, 837,319 shares and 791,367 shares, respectively, vested.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for the nine months ended September 30, 2021 and 2020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September 30, 2021</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726,245</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491,092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936,965</w:t>
            </w:r>
          </w:p>
        </w:tc>
        <w:tc>
          <w:tcPr>
            <w:tcW w:w="42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549,684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2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Total</w:t>
            </w:r>
          </w:p>
        </w:tc>
        <w:tc>
          <w:tcPr>
            <w:tcW w:w="16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1,663,210</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1,040,776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 Income Taxes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The provision for income taxes was $0 for each of the nine months ended September 30, 2021 and 2020, and the effective tax rate for each of the nine months ended September 30, 2021 and 2020 was 0%. The Corporation continues to maintain a full valuation allowance on its net deferred tax assets. The Corporation has not recognized any reserves for uncertain tax positions.</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Please refer to the audited consolidated financial statements as of, and for the years ended, December 31, 2020 and 2019, included in the proxy statement/prospectus filed with the SEC on September 24, 2021 for additional information on the Corporation’s income taxes.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(13) Related Party Transactions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Corporation’s related party transactions are disclosed in the audited consolidated financial statements as of, and for the years ended, December 31, 2020 and 2019, included in the proxy statement/prospectus filed with the SEC on September 24, 2021. Since the date of such audited consolidated financial statements, there have been no significant changes to the Corporation’s related party transactions.</w:t>
      </w:r>
    </w:p>
    <w:p>
      <w:pPr>
        <w:spacing w:after="0" w:line="141"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For the nine months ended September 30, 2021 and 2020, the Corporation paid consulting fees to a board member, Christine Hamilton, who is also an owner, of $19,000 and $19,000,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5" w:name="page156"/>
    <w:bookmarkEnd w:id="155"/>
    <w:p>
      <w:pPr>
        <w:jc w:val="both"/>
        <w:spacing w:after="0" w:line="286" w:lineRule="auto"/>
        <w:rPr>
          <w:sz w:val="20"/>
          <w:szCs w:val="20"/>
          <w:color w:val="auto"/>
        </w:rPr>
      </w:pPr>
      <w:r>
        <w:rPr>
          <w:rFonts w:ascii="Arial" w:cs="Arial" w:eastAsia="Arial" w:hAnsi="Arial"/>
          <w:sz w:val="14"/>
          <w:szCs w:val="14"/>
          <w:color w:val="auto"/>
        </w:rPr>
        <w:t>For the nine months ended September 30, 2020, the Corporation paid Network Plus, LLC (owner is the spouse of an employee) approximately $19,000 for IT assistance and computer setups. The spouse became an employee of the Corporation in July 2020, and there was no further activity with this vendor.</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nine months ended September 30, 2021 and 2020, the Corporation made lease payments to Dakota Ag Properties of approximately $301,000 (for each period). Dakota Ag Investments (part of Dakota Ag Properties) is a shareholder and owner of the Corporation.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nine months ended September 30, 2021 and 2020, the Corporation made lease payments and lab supply payments to Sanford Health (which is a shareholder of the Corporation) totaling approximately $589,000 and $435,000, respectively.</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For the nine months ended September 30, 2020, the Corporation made payments of approximately $1.4 million to Christiansen Land and Cattle, Ltd. (“CLC”), who are owners, members of the board of directors, and employees of the Corporation, in accordance with the loan agreement the Corporation had entered into with CLC. In July 2020, the note payable was paid in full.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(14) 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is not involved in any legal proceedings, investigations and claims which are expected to have a material adverse effect on its financial condition, results of operations or liquidity.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 April 2021, the Corporation entered into agreements that included other commitments of $4.5 million.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A description of the joint development agreement that the Corporation entered into in June 2019 is disclosed in the audited consolidated financial statements as of, and for the years ended, December 31, 2020 and 2019, included in the proxy statement/prospectus filed with the SEC on September 24, 2021. As of September 30, 2021, as a result of the Corporation’s work around SARS-2 and the JPEO contract (please refer to Note 5, </w:t>
      </w:r>
      <w:r>
        <w:rPr>
          <w:rFonts w:ascii="Arial" w:cs="Arial" w:eastAsia="Arial" w:hAnsi="Arial"/>
          <w:sz w:val="14"/>
          <w:szCs w:val="14"/>
          <w:i w:val="1"/>
          <w:iCs w:val="1"/>
          <w:color w:val="auto"/>
        </w:rPr>
        <w:t>Revenue</w:t>
      </w:r>
      <w:r>
        <w:rPr>
          <w:rFonts w:ascii="Arial" w:cs="Arial" w:eastAsia="Arial" w:hAnsi="Arial"/>
          <w:sz w:val="14"/>
          <w:szCs w:val="14"/>
          <w:color w:val="auto"/>
        </w:rPr>
        <w:t>, for additional information), this project remains on hold.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(15) Subsequent Events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preparation of the Corporation’s condensed consolidated financial statements, the Corporation completed an evaluation of the impact of subsequent events through December 3, 2021, which represents the date these condensed consolidated financial statements were available for issuance.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October 22, 2021 (the “Closing Date”), the Corporation consummated the Business Combination, pursuant to the terms of the agreement and plan of merger, dated as of June 21, 2021 and as amended on August 12, 2021 by the first amendment to the Business Combination Agreement with BCYP and Merger Sub.</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Pursuant to the Business Combination Agreement, on the Closing Date, (i) Merger Sub merged with and into the Corporation, with the Corporation as the surviving company in the Merger, and, after giving effect to such Merger, the Corporation was renamed SAB Sciences, Inc. and became a wholly-owned subsidiary of BCYP and (ii) BCYP changed its name to “SAB Biotherapeutics, Inc.” (“New SAB”).</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accordance with the terms and subject to the conditions of the Business Combination Agreement, at the effective time of the Merger (the “Effective Time”), (i) each share of the Corporation’s Common Stock and the Corporation’s Preferred Stock outstanding as of immediately prior to the Effective Time was exchanged for shares of common stock, par value $0.0001 per share, of New SAB based on the agreed upon Corporation’s equity value of $300 million (the “Equity Value”) and a conversion rate of $10.10; (ii) each outstanding vested and unvested option to purchase shares of the Corporation’s Common Stock was exchanged for a comparable option to purchase New SAB Common Stock, based on the Equity Value and a conversion rate of $10.10; and (iii) holders of vested options to purchase shares of the Corporation’s common stock received, in the aggregate, 1,507,124 restricted stock units (the “Earnout RSUs”) related to shares of New SAB Common Stock. Additionally, holders of the Corporation’s Common Stock and the Corporation’s Preferred Stock are entitled to receive their pro rata share of the shares of New SAB Common Stock that were issued into escrow at the Closing (the “Earnout Shares”) which will be released if certain conditions are met within the five-year period following the Closing (the “Earnout Period”). The total number of Earnout Shares and shares underlying the Earnout RSUs equaled 12,000,000 shares of New SAB Common Stock, in the aggregate.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 fraction of a share of New SAB Common Stock was issued at the Closing, and each person who was otherwise entitled to a fraction of a share of New SAB Common Stock (after aggregating all fractional shares of New SAB Common Stock that otherwise would be received by such holder) received the number of shares of New SAB Common Stock rounded in the aggregate to the nearest whole share of New SAB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 xml:space="preserve">We have audited the accompanying consolidated balance sheet of </w:t>
      </w:r>
      <w:r>
        <w:rPr>
          <w:rFonts w:ascii="Arial" w:cs="Arial" w:eastAsia="Arial" w:hAnsi="Arial"/>
          <w:sz w:val="13"/>
          <w:szCs w:val="13"/>
          <w:b w:val="1"/>
          <w:bCs w:val="1"/>
          <w:color w:val="auto"/>
        </w:rPr>
        <w:t>SAB Biotherapeutics, Inc. and Subsidiaries</w:t>
      </w:r>
      <w:r>
        <w:rPr>
          <w:rFonts w:ascii="Arial" w:cs="Arial" w:eastAsia="Arial" w:hAnsi="Arial"/>
          <w:sz w:val="13"/>
          <w:szCs w:val="13"/>
          <w:color w:val="auto"/>
        </w:rPr>
        <w:t xml:space="preserve"> (“Company”) as of December 31, 2020, and the related consolidated statements of operations, changes in redeemable preferred stock and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then ended,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45"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Mayer Hoffman McCann P.C.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2019.</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June 17,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 xml:space="preserve">We have audited the accompanying consolidated balance sheet of </w:t>
      </w:r>
      <w:r>
        <w:rPr>
          <w:rFonts w:ascii="Arial" w:cs="Arial" w:eastAsia="Arial" w:hAnsi="Arial"/>
          <w:sz w:val="13"/>
          <w:szCs w:val="13"/>
          <w:b w:val="1"/>
          <w:bCs w:val="1"/>
          <w:color w:val="auto"/>
        </w:rPr>
        <w:t>SAB Biotherapeutics, Inc. and Subsidiaries</w:t>
      </w:r>
      <w:r>
        <w:rPr>
          <w:rFonts w:ascii="Arial" w:cs="Arial" w:eastAsia="Arial" w:hAnsi="Arial"/>
          <w:sz w:val="13"/>
          <w:szCs w:val="13"/>
          <w:color w:val="auto"/>
        </w:rPr>
        <w:t xml:space="preserve"> (“Company”) as of December 31, 2019, and the related consolidated statements of operations, changes in redeemable preferred stock and stockholders’ equity (deficit), and cash flows the year then ended,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these financial statements based on our audit. We are required to be independent with respect to the Company in accordance with the relevant ethical requirements relating to our audit.</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We conducted our audit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31" w:lineRule="exact"/>
        <w:rPr>
          <w:sz w:val="20"/>
          <w:szCs w:val="20"/>
          <w:color w:val="auto"/>
        </w:rPr>
      </w:pPr>
    </w:p>
    <w:p>
      <w:pPr>
        <w:jc w:val="both"/>
        <w:spacing w:after="0" w:line="336" w:lineRule="auto"/>
        <w:rPr>
          <w:sz w:val="20"/>
          <w:szCs w:val="20"/>
          <w:color w:val="auto"/>
        </w:rPr>
      </w:pPr>
      <w:r>
        <w:rPr>
          <w:rFonts w:ascii="Arial" w:cs="Arial" w:eastAsia="Arial" w:hAnsi="Arial"/>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Mayer Hoffman McCann P.C.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2019.</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June 17,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jc w:val="center"/>
              <w:ind w:right="8"/>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12,610,383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6,345,969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20,569,497</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2,818,735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1,275,134</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124,004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gridSpan w:val="2"/>
          </w:tcPr>
          <w:p>
            <w:pPr>
              <w:spacing w:after="0" w:line="153"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34,455,014</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9,288,708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3,053,022</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1,861,726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Financing lease right-of-use assets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4,184,427</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4,349,463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60" w:type="dxa"/>
            <w:vAlign w:val="bottom"/>
            <w:gridSpan w:val="2"/>
          </w:tcPr>
          <w:p>
            <w:pPr>
              <w:spacing w:after="0"/>
              <w:rPr>
                <w:sz w:val="20"/>
                <w:szCs w:val="20"/>
                <w:color w:val="auto"/>
              </w:rPr>
            </w:pPr>
            <w:r>
              <w:rPr>
                <w:rFonts w:ascii="Arial" w:cs="Arial" w:eastAsia="Arial" w:hAnsi="Arial"/>
                <w:sz w:val="14"/>
                <w:szCs w:val="14"/>
                <w:color w:val="auto"/>
              </w:rPr>
              <w:t>Equipment, net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14,845,470</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2,503,658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56,537,933</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18,003,555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jc w:val="center"/>
              <w:ind w:right="28"/>
              <w:spacing w:after="0"/>
              <w:rPr>
                <w:sz w:val="20"/>
                <w:szCs w:val="20"/>
                <w:color w:val="auto"/>
              </w:rPr>
            </w:pPr>
            <w:r>
              <w:rPr>
                <w:rFonts w:ascii="Arial" w:cs="Arial" w:eastAsia="Arial" w:hAnsi="Arial"/>
                <w:sz w:val="14"/>
                <w:szCs w:val="14"/>
                <w:b w:val="1"/>
                <w:bCs w:val="1"/>
                <w:color w:val="auto"/>
                <w:w w:val="92"/>
              </w:rPr>
              <w:t>Liabilities, Redeemable Preferred Stock and Stockholders’ Equity (Deficit)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7,382,361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2,170,768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Notes payable - current 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538,731</w:t>
            </w:r>
          </w:p>
        </w:tc>
        <w:tc>
          <w:tcPr>
            <w:tcW w:w="18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28,214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Note payable - related party</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1,364,644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Operating lease liabilities, current 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924,265</w:t>
            </w:r>
          </w:p>
        </w:tc>
        <w:tc>
          <w:tcPr>
            <w:tcW w:w="18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371,263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Finance lease liabilities, current portion</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194,717</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182,343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Due to related party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16,778</w:t>
            </w:r>
          </w:p>
        </w:tc>
        <w:tc>
          <w:tcPr>
            <w:tcW w:w="18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Deferred grant income</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60" w:type="dxa"/>
            <w:vAlign w:val="bottom"/>
            <w:gridSpan w:val="2"/>
          </w:tcPr>
          <w:p>
            <w:pPr>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1,904,878</w:t>
            </w:r>
          </w:p>
        </w:tc>
        <w:tc>
          <w:tcPr>
            <w:tcW w:w="18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494,554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11,061,730</w:t>
            </w: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4,618,036</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noncurrent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2,372,777</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1,519,366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Finance lease liabilities, noncurrent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3,923,554</w:t>
            </w:r>
          </w:p>
        </w:tc>
        <w:tc>
          <w:tcPr>
            <w:tcW w:w="18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4,118,272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Notes payable, noncurrent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172,037</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53,448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gridSpan w:val="2"/>
          </w:tcPr>
          <w:p>
            <w:pPr>
              <w:spacing w:after="0" w:line="153"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17,530,098</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10,309,122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Commitments and contingencies (Note 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Redeemable preferred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w w:val="93"/>
              </w:rPr>
              <w:t>Series A-2A Redeemable preferred stock; $0.0001 par value; 3,333,333 shares designated, issued, and outstanding at December 31,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2019; liquidation preference of $9,999,999 at December 31, 2019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740" w:type="dxa"/>
            <w:vAlign w:val="bottom"/>
          </w:tcPr>
          <w:p>
            <w:pPr>
              <w:spacing w:after="0"/>
              <w:rPr>
                <w:sz w:val="20"/>
                <w:szCs w:val="20"/>
                <w:color w:val="auto"/>
              </w:rPr>
            </w:pPr>
            <w:r>
              <w:rPr>
                <w:rFonts w:ascii="Arial" w:cs="Arial" w:eastAsia="Arial" w:hAnsi="Arial"/>
                <w:sz w:val="14"/>
                <w:szCs w:val="14"/>
                <w:color w:val="auto"/>
                <w:w w:val="93"/>
              </w:rPr>
              <w:t>Series A Preferred stock; $0.0001 par value; 6,615,000 shares designated, issued, and outstanding at December 31, 2020 and 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60" w:type="dxa"/>
            <w:vAlign w:val="bottom"/>
            <w:gridSpan w:val="2"/>
          </w:tcPr>
          <w:p>
            <w:pPr>
              <w:spacing w:after="0"/>
              <w:rPr>
                <w:sz w:val="20"/>
                <w:szCs w:val="20"/>
                <w:color w:val="auto"/>
              </w:rPr>
            </w:pPr>
            <w:r>
              <w:rPr>
                <w:rFonts w:ascii="Arial" w:cs="Arial" w:eastAsia="Arial" w:hAnsi="Arial"/>
                <w:sz w:val="14"/>
                <w:szCs w:val="14"/>
                <w:color w:val="auto"/>
              </w:rPr>
              <w:t>liquidation preference of $6,615,000 at December 31, 2020 and 2019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662</w:t>
            </w:r>
          </w:p>
        </w:tc>
        <w:tc>
          <w:tcPr>
            <w:tcW w:w="18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w w:val="92"/>
              </w:rPr>
              <w:t>Series A-1 Preferred stock; $0.0001 par value; 2,525,800 shares designated, issued, and outstanding at December 31, 2020 and 2019;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liquidation preference of $4,752,040 at December 31, 2020 and 2019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253</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740" w:type="dxa"/>
            <w:vAlign w:val="bottom"/>
          </w:tcPr>
          <w:p>
            <w:pPr>
              <w:spacing w:after="0"/>
              <w:rPr>
                <w:sz w:val="20"/>
                <w:szCs w:val="20"/>
                <w:color w:val="auto"/>
              </w:rPr>
            </w:pPr>
            <w:r>
              <w:rPr>
                <w:rFonts w:ascii="Arial" w:cs="Arial" w:eastAsia="Arial" w:hAnsi="Arial"/>
                <w:sz w:val="14"/>
                <w:szCs w:val="14"/>
                <w:color w:val="auto"/>
                <w:w w:val="92"/>
              </w:rPr>
              <w:t>Series A-2 Preferred stock; $0.0001 par value; 4,039,963 shares designated, issued, and outstanding at December 31, 2020 and 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60" w:type="dxa"/>
            <w:vAlign w:val="bottom"/>
            <w:gridSpan w:val="2"/>
          </w:tcPr>
          <w:p>
            <w:pPr>
              <w:spacing w:after="0"/>
              <w:rPr>
                <w:sz w:val="20"/>
                <w:szCs w:val="20"/>
                <w:color w:val="auto"/>
              </w:rPr>
            </w:pPr>
            <w:r>
              <w:rPr>
                <w:rFonts w:ascii="Arial" w:cs="Arial" w:eastAsia="Arial" w:hAnsi="Arial"/>
                <w:sz w:val="14"/>
                <w:szCs w:val="14"/>
                <w:color w:val="auto"/>
              </w:rPr>
              <w:t>liquidation preference of $12,119,889 at December 31, 2020 and 2019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404</w:t>
            </w:r>
          </w:p>
        </w:tc>
        <w:tc>
          <w:tcPr>
            <w:tcW w:w="18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w w:val="98"/>
              </w:rPr>
              <w:t>Series A-2A Preferred stock; $0.0001 par value; 3,333,333 shares designated, issued, and outstanding at December 31, 2020;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liquidation preference of $9,999,999 at December 31, 2020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333</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740" w:type="dxa"/>
            <w:vAlign w:val="bottom"/>
          </w:tcPr>
          <w:p>
            <w:pPr>
              <w:spacing w:after="0"/>
              <w:rPr>
                <w:sz w:val="20"/>
                <w:szCs w:val="20"/>
                <w:color w:val="auto"/>
              </w:rPr>
            </w:pPr>
            <w:r>
              <w:rPr>
                <w:rFonts w:ascii="Arial" w:cs="Arial" w:eastAsia="Arial" w:hAnsi="Arial"/>
                <w:sz w:val="14"/>
                <w:szCs w:val="14"/>
                <w:color w:val="auto"/>
                <w:w w:val="93"/>
              </w:rPr>
              <w:t>Series B Preferred stock; $0.0001 par value; 8,571,429 shares designated at December 31, 2020 and 2019; 4,090,540 and 1,236,786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60" w:type="dxa"/>
            <w:vAlign w:val="bottom"/>
            <w:gridSpan w:val="2"/>
          </w:tcPr>
          <w:p>
            <w:pPr>
              <w:spacing w:after="0"/>
              <w:rPr>
                <w:sz w:val="20"/>
                <w:szCs w:val="20"/>
                <w:color w:val="auto"/>
              </w:rPr>
            </w:pPr>
            <w:r>
              <w:rPr>
                <w:rFonts w:ascii="Arial" w:cs="Arial" w:eastAsia="Arial" w:hAnsi="Arial"/>
                <w:sz w:val="14"/>
                <w:szCs w:val="14"/>
                <w:color w:val="auto"/>
                <w:w w:val="93"/>
              </w:rPr>
              <w:t>shares issued and outstanding at December 31, 2020 and 2019, respectively; liquidation preference of $14,316,890 and $4,328,751 at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60" w:type="dxa"/>
            <w:vAlign w:val="bottom"/>
            <w:gridSpan w:val="2"/>
          </w:tcPr>
          <w:p>
            <w:pPr>
              <w:spacing w:after="0"/>
              <w:rPr>
                <w:sz w:val="20"/>
                <w:szCs w:val="20"/>
                <w:color w:val="auto"/>
              </w:rPr>
            </w:pPr>
            <w:r>
              <w:rPr>
                <w:rFonts w:ascii="Arial" w:cs="Arial" w:eastAsia="Arial" w:hAnsi="Arial"/>
                <w:sz w:val="14"/>
                <w:szCs w:val="14"/>
                <w:color w:val="auto"/>
              </w:rPr>
              <w:t>December 31, 2020 and 2019, respectively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409</w:t>
            </w:r>
          </w:p>
        </w:tc>
        <w:tc>
          <w:tcPr>
            <w:tcW w:w="180" w:type="dxa"/>
            <w:vAlign w:val="bottom"/>
          </w:tcPr>
          <w:p>
            <w:pPr>
              <w:spacing w:after="0"/>
              <w:rPr>
                <w:sz w:val="15"/>
                <w:szCs w:val="15"/>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w w:val="94"/>
              </w:rPr>
              <w:t>Common stock; $0.0001 par value; 110,000,000 shares designated at December 31, 2020 and 2019; 35,216,000 shares issued and</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2020 and 2019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3,522</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50,986,672</w:t>
            </w:r>
          </w:p>
        </w:tc>
        <w:tc>
          <w:tcPr>
            <w:tcW w:w="180" w:type="dxa"/>
            <w:vAlign w:val="bottom"/>
          </w:tcPr>
          <w:p>
            <w:pPr>
              <w:spacing w:after="0"/>
              <w:rPr>
                <w:sz w:val="14"/>
                <w:szCs w:val="14"/>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29,791,662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(11,984,420)</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(32,102,193)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60" w:type="dxa"/>
            <w:vAlign w:val="bottom"/>
            <w:gridSpan w:val="2"/>
          </w:tcPr>
          <w:p>
            <w:pPr>
              <w:spacing w:after="0" w:line="153" w:lineRule="exact"/>
              <w:rPr>
                <w:sz w:val="20"/>
                <w:szCs w:val="20"/>
                <w:color w:val="auto"/>
              </w:rPr>
            </w:pPr>
            <w:r>
              <w:rPr>
                <w:rFonts w:ascii="Arial" w:cs="Arial" w:eastAsia="Arial" w:hAnsi="Arial"/>
                <w:sz w:val="14"/>
                <w:szCs w:val="14"/>
                <w:color w:val="auto"/>
              </w:rPr>
              <w:t>Total stockholders’ equity (deficit)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39,007,835</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auto"/>
              </w:rPr>
              <w:t>(2,305,566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740" w:type="dxa"/>
            <w:vAlign w:val="bottom"/>
          </w:tcPr>
          <w:p>
            <w:pPr>
              <w:spacing w:after="0"/>
              <w:rPr>
                <w:sz w:val="20"/>
                <w:szCs w:val="20"/>
                <w:color w:val="auto"/>
              </w:rPr>
            </w:pPr>
            <w:r>
              <w:rPr>
                <w:rFonts w:ascii="Arial" w:cs="Arial" w:eastAsia="Arial" w:hAnsi="Arial"/>
                <w:sz w:val="14"/>
                <w:szCs w:val="14"/>
                <w:b w:val="1"/>
                <w:bCs w:val="1"/>
                <w:color w:val="auto"/>
              </w:rPr>
              <w:t>Total liabilities, redeemable preferred stock and stockholders’ equity (deficit)</w:t>
            </w:r>
          </w:p>
        </w:tc>
        <w:tc>
          <w:tcPr>
            <w:tcW w:w="3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4"/>
                <w:szCs w:val="14"/>
                <w:color w:val="auto"/>
              </w:rPr>
              <w:t>56,537,933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59"/>
              <w:spacing w:after="0"/>
              <w:rPr>
                <w:sz w:val="20"/>
                <w:szCs w:val="20"/>
                <w:color w:val="auto"/>
              </w:rPr>
            </w:pPr>
            <w:r>
              <w:rPr>
                <w:rFonts w:ascii="Arial" w:cs="Arial" w:eastAsia="Arial" w:hAnsi="Arial"/>
                <w:sz w:val="14"/>
                <w:szCs w:val="14"/>
                <w:color w:val="auto"/>
              </w:rPr>
              <w:t>18,003,555</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4"/>
                <w:szCs w:val="14"/>
                <w:color w:val="auto"/>
              </w:rPr>
              <w:t>See accompanying notes to the consolidated financial statements</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740" w:type="dxa"/>
            <w:vAlign w:val="bottom"/>
            <w:tcBorders>
              <w:bottom w:val="single" w:sz="8" w:color="auto"/>
            </w:tcBorders>
          </w:tcPr>
          <w:p>
            <w:pPr>
              <w:ind w:left="5480"/>
              <w:spacing w:after="0"/>
              <w:rPr>
                <w:sz w:val="20"/>
                <w:szCs w:val="20"/>
                <w:color w:val="auto"/>
              </w:rPr>
            </w:pPr>
            <w:r>
              <w:rPr>
                <w:rFonts w:ascii="Arial" w:cs="Arial" w:eastAsia="Arial" w:hAnsi="Arial"/>
                <w:sz w:val="14"/>
                <w:szCs w:val="14"/>
                <w:color w:val="auto"/>
              </w:rPr>
              <w:t>F-46</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4"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Grant revenue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55,237,759</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3,441,807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55,237,759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3,441,807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20" w:type="dxa"/>
            <w:vAlign w:val="bottom"/>
            <w:gridSpan w:val="2"/>
          </w:tcPr>
          <w:p>
            <w:pPr>
              <w:spacing w:after="0" w:line="152" w:lineRule="exact"/>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27,908,659</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8,019,705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6,772,303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4,095,642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34,680,962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12,115,347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20" w:type="dxa"/>
            <w:vAlign w:val="bottom"/>
            <w:gridSpan w:val="2"/>
          </w:tcPr>
          <w:p>
            <w:pPr>
              <w:spacing w:after="0" w:line="153" w:lineRule="exact"/>
              <w:rPr>
                <w:sz w:val="20"/>
                <w:szCs w:val="20"/>
                <w:color w:val="auto"/>
              </w:rPr>
            </w:pPr>
            <w:r>
              <w:rPr>
                <w:rFonts w:ascii="Arial" w:cs="Arial" w:eastAsia="Arial" w:hAnsi="Arial"/>
                <w:sz w:val="14"/>
                <w:szCs w:val="14"/>
                <w:color w:val="auto"/>
              </w:rPr>
              <w:t>Income (loss) from operations</w:t>
            </w:r>
          </w:p>
        </w:tc>
        <w:tc>
          <w:tcPr>
            <w:tcW w:w="220" w:type="dxa"/>
            <w:vAlign w:val="bottom"/>
          </w:tcPr>
          <w:p>
            <w:pPr>
              <w:spacing w:after="0"/>
              <w:rPr>
                <w:sz w:val="13"/>
                <w:szCs w:val="13"/>
                <w:color w:val="auto"/>
              </w:rPr>
            </w:pPr>
          </w:p>
        </w:tc>
        <w:tc>
          <w:tcPr>
            <w:tcW w:w="1700" w:type="dxa"/>
            <w:vAlign w:val="bottom"/>
          </w:tcPr>
          <w:p>
            <w:pPr>
              <w:jc w:val="right"/>
              <w:spacing w:after="0" w:line="153" w:lineRule="exact"/>
              <w:rPr>
                <w:sz w:val="20"/>
                <w:szCs w:val="20"/>
                <w:color w:val="auto"/>
              </w:rPr>
            </w:pPr>
            <w:r>
              <w:rPr>
                <w:rFonts w:ascii="Arial" w:cs="Arial" w:eastAsia="Arial" w:hAnsi="Arial"/>
                <w:sz w:val="14"/>
                <w:szCs w:val="14"/>
                <w:color w:val="auto"/>
              </w:rPr>
              <w:t>20,556,797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right"/>
              <w:spacing w:after="0" w:line="153" w:lineRule="exact"/>
              <w:rPr>
                <w:sz w:val="20"/>
                <w:szCs w:val="20"/>
                <w:color w:val="auto"/>
              </w:rPr>
            </w:pPr>
            <w:r>
              <w:rPr>
                <w:rFonts w:ascii="Arial" w:cs="Arial" w:eastAsia="Arial" w:hAnsi="Arial"/>
                <w:sz w:val="14"/>
                <w:szCs w:val="14"/>
                <w:color w:val="auto"/>
              </w:rPr>
              <w:t>(8,673,540)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4"/>
                <w:szCs w:val="14"/>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3,996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9"/>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(469,151)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(428,476)</w:t>
            </w:r>
          </w:p>
        </w:tc>
        <w:tc>
          <w:tcPr>
            <w:tcW w:w="0" w:type="dxa"/>
            <w:vAlign w:val="bottom"/>
          </w:tcPr>
          <w:p>
            <w:pPr>
              <w:spacing w:after="0"/>
              <w:rPr>
                <w:sz w:val="1"/>
                <w:szCs w:val="1"/>
                <w:color w:val="auto"/>
              </w:rPr>
            </w:pP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26,131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59"/>
              <w:spacing w:after="0"/>
              <w:rPr>
                <w:sz w:val="20"/>
                <w:szCs w:val="20"/>
                <w:color w:val="auto"/>
              </w:rPr>
            </w:pPr>
            <w:r>
              <w:rPr>
                <w:rFonts w:ascii="Arial" w:cs="Arial" w:eastAsia="Arial" w:hAnsi="Arial"/>
                <w:sz w:val="14"/>
                <w:szCs w:val="14"/>
                <w:color w:val="auto"/>
              </w:rPr>
              <w:t>113,133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20,117,773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(8,986,289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Earnings (loss) per common share attributable to the Corporation’s shareholders</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Basic earnings (loss) per common share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0.37</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9"/>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(loss) per common share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0.35</w:t>
            </w:r>
          </w:p>
        </w:tc>
        <w:tc>
          <w:tcPr>
            <w:tcW w:w="3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common shares outstanding - basic</w:t>
            </w:r>
          </w:p>
        </w:tc>
        <w:tc>
          <w:tcPr>
            <w:tcW w:w="2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35,216,000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35,216,000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220" w:type="dxa"/>
            <w:vAlign w:val="bottom"/>
          </w:tcPr>
          <w:p>
            <w:pPr>
              <w:spacing w:after="0"/>
              <w:rPr>
                <w:sz w:val="15"/>
                <w:szCs w:val="15"/>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4"/>
                <w:szCs w:val="14"/>
                <w:color w:val="auto"/>
              </w:rPr>
              <w:t>58,051,614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59"/>
              <w:spacing w:after="0"/>
              <w:rPr>
                <w:sz w:val="20"/>
                <w:szCs w:val="20"/>
                <w:color w:val="auto"/>
              </w:rPr>
            </w:pPr>
            <w:r>
              <w:rPr>
                <w:rFonts w:ascii="Arial" w:cs="Arial" w:eastAsia="Arial" w:hAnsi="Arial"/>
                <w:sz w:val="14"/>
                <w:szCs w:val="14"/>
                <w:color w:val="auto"/>
              </w:rPr>
              <w:t>35,216,000</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Changes In Redeemable Preferred Stock and Stockholders’ Equity (Deficit)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60" w:type="dxa"/>
            <w:vAlign w:val="bottom"/>
            <w:gridSpan w:val="4"/>
          </w:tcPr>
          <w:p>
            <w:pPr>
              <w:jc w:val="center"/>
              <w:ind w:right="90"/>
              <w:spacing w:after="0"/>
              <w:rPr>
                <w:sz w:val="20"/>
                <w:szCs w:val="20"/>
                <w:color w:val="auto"/>
              </w:rPr>
            </w:pPr>
            <w:r>
              <w:rPr>
                <w:rFonts w:ascii="Arial" w:cs="Arial" w:eastAsia="Arial" w:hAnsi="Arial"/>
                <w:sz w:val="10"/>
                <w:szCs w:val="10"/>
                <w:b w:val="1"/>
                <w:bCs w:val="1"/>
                <w:color w:val="auto"/>
                <w:w w:val="90"/>
              </w:rPr>
              <w:t>Redeemable Preferred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0"/>
                <w:szCs w:val="10"/>
                <w:b w:val="1"/>
                <w:bCs w:val="1"/>
                <w:color w:val="auto"/>
                <w:w w:val="87"/>
              </w:rPr>
              <w:t>Stock</w:t>
            </w: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0"/>
                <w:szCs w:val="10"/>
                <w:b w:val="1"/>
                <w:bCs w:val="1"/>
                <w:color w:val="auto"/>
                <w:w w:val="88"/>
              </w:rPr>
              <w:t>Stockholders’ Equity (Deficit)</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60" w:type="dxa"/>
            <w:vAlign w:val="bottom"/>
            <w:tcBorders>
              <w:right w:val="single" w:sz="8" w:color="auto"/>
            </w:tcBorders>
            <w:gridSpan w:val="4"/>
          </w:tcPr>
          <w:p>
            <w:pPr>
              <w:jc w:val="center"/>
              <w:ind w:right="110"/>
              <w:spacing w:after="0" w:line="97" w:lineRule="exact"/>
              <w:rPr>
                <w:sz w:val="20"/>
                <w:szCs w:val="20"/>
                <w:color w:val="auto"/>
              </w:rPr>
            </w:pPr>
            <w:r>
              <w:rPr>
                <w:rFonts w:ascii="Arial" w:cs="Arial" w:eastAsia="Arial" w:hAnsi="Arial"/>
                <w:sz w:val="10"/>
                <w:szCs w:val="10"/>
                <w:b w:val="1"/>
                <w:bCs w:val="1"/>
                <w:color w:val="auto"/>
                <w:w w:val="89"/>
              </w:rPr>
              <w:t>Series A-2A Redeemable</w:t>
            </w:r>
          </w:p>
        </w:tc>
        <w:tc>
          <w:tcPr>
            <w:tcW w:w="1020" w:type="dxa"/>
            <w:vAlign w:val="bottom"/>
            <w:gridSpan w:val="5"/>
          </w:tcPr>
          <w:p>
            <w:pPr>
              <w:jc w:val="center"/>
              <w:ind w:right="100"/>
              <w:spacing w:after="0" w:line="97" w:lineRule="exact"/>
              <w:rPr>
                <w:sz w:val="20"/>
                <w:szCs w:val="20"/>
                <w:color w:val="auto"/>
              </w:rPr>
            </w:pPr>
            <w:r>
              <w:rPr>
                <w:rFonts w:ascii="Arial" w:cs="Arial" w:eastAsia="Arial" w:hAnsi="Arial"/>
                <w:sz w:val="10"/>
                <w:szCs w:val="10"/>
                <w:b w:val="1"/>
                <w:bCs w:val="1"/>
                <w:color w:val="auto"/>
                <w:w w:val="91"/>
              </w:rPr>
              <w:t>Series A Preferred</w:t>
            </w:r>
          </w:p>
        </w:tc>
        <w:tc>
          <w:tcPr>
            <w:tcW w:w="1020" w:type="dxa"/>
            <w:vAlign w:val="bottom"/>
            <w:gridSpan w:val="4"/>
          </w:tcPr>
          <w:p>
            <w:pPr>
              <w:jc w:val="center"/>
              <w:ind w:right="100"/>
              <w:spacing w:after="0" w:line="97" w:lineRule="exact"/>
              <w:rPr>
                <w:sz w:val="20"/>
                <w:szCs w:val="20"/>
                <w:color w:val="auto"/>
              </w:rPr>
            </w:pPr>
            <w:r>
              <w:rPr>
                <w:rFonts w:ascii="Arial" w:cs="Arial" w:eastAsia="Arial" w:hAnsi="Arial"/>
                <w:sz w:val="10"/>
                <w:szCs w:val="10"/>
                <w:b w:val="1"/>
                <w:bCs w:val="1"/>
                <w:color w:val="auto"/>
                <w:w w:val="91"/>
              </w:rPr>
              <w:t>Series A-1 Preferred</w:t>
            </w:r>
          </w:p>
        </w:tc>
        <w:tc>
          <w:tcPr>
            <w:tcW w:w="1020" w:type="dxa"/>
            <w:vAlign w:val="bottom"/>
            <w:gridSpan w:val="4"/>
          </w:tcPr>
          <w:p>
            <w:pPr>
              <w:jc w:val="center"/>
              <w:ind w:right="100"/>
              <w:spacing w:after="0" w:line="97" w:lineRule="exact"/>
              <w:rPr>
                <w:sz w:val="20"/>
                <w:szCs w:val="20"/>
                <w:color w:val="auto"/>
              </w:rPr>
            </w:pPr>
            <w:r>
              <w:rPr>
                <w:rFonts w:ascii="Arial" w:cs="Arial" w:eastAsia="Arial" w:hAnsi="Arial"/>
                <w:sz w:val="10"/>
                <w:szCs w:val="10"/>
                <w:b w:val="1"/>
                <w:bCs w:val="1"/>
                <w:color w:val="auto"/>
                <w:w w:val="91"/>
              </w:rPr>
              <w:t>Series A-2 Preferred</w:t>
            </w:r>
          </w:p>
        </w:tc>
        <w:tc>
          <w:tcPr>
            <w:tcW w:w="740" w:type="dxa"/>
            <w:vAlign w:val="bottom"/>
            <w:gridSpan w:val="2"/>
          </w:tcPr>
          <w:p>
            <w:pPr>
              <w:jc w:val="center"/>
              <w:ind w:left="110"/>
              <w:spacing w:after="0" w:line="97" w:lineRule="exact"/>
              <w:rPr>
                <w:sz w:val="20"/>
                <w:szCs w:val="20"/>
                <w:color w:val="auto"/>
              </w:rPr>
            </w:pPr>
            <w:r>
              <w:rPr>
                <w:rFonts w:ascii="Arial" w:cs="Arial" w:eastAsia="Arial" w:hAnsi="Arial"/>
                <w:sz w:val="10"/>
                <w:szCs w:val="10"/>
                <w:b w:val="1"/>
                <w:bCs w:val="1"/>
                <w:color w:val="auto"/>
                <w:w w:val="88"/>
              </w:rPr>
              <w:t>Series A-2A</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4"/>
          </w:tcPr>
          <w:p>
            <w:pPr>
              <w:jc w:val="center"/>
              <w:ind w:right="120"/>
              <w:spacing w:after="0" w:line="97" w:lineRule="exact"/>
              <w:rPr>
                <w:sz w:val="20"/>
                <w:szCs w:val="20"/>
                <w:color w:val="auto"/>
              </w:rPr>
            </w:pPr>
            <w:r>
              <w:rPr>
                <w:rFonts w:ascii="Arial" w:cs="Arial" w:eastAsia="Arial" w:hAnsi="Arial"/>
                <w:sz w:val="10"/>
                <w:szCs w:val="10"/>
                <w:b w:val="1"/>
                <w:bCs w:val="1"/>
                <w:color w:val="auto"/>
                <w:w w:val="89"/>
              </w:rPr>
              <w:t>Series B Preferred</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jc w:val="right"/>
              <w:ind w:right="110"/>
              <w:spacing w:after="0" w:line="97" w:lineRule="exact"/>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jc w:val="center"/>
              <w:ind w:right="10"/>
              <w:spacing w:after="0" w:line="97" w:lineRule="exact"/>
              <w:rPr>
                <w:sz w:val="20"/>
                <w:szCs w:val="20"/>
                <w:color w:val="auto"/>
              </w:rPr>
            </w:pPr>
            <w:r>
              <w:rPr>
                <w:rFonts w:ascii="Arial" w:cs="Arial" w:eastAsia="Arial" w:hAnsi="Arial"/>
                <w:sz w:val="10"/>
                <w:szCs w:val="10"/>
                <w:b w:val="1"/>
                <w:bCs w:val="1"/>
                <w:color w:val="auto"/>
                <w:w w:val="91"/>
              </w:rPr>
              <w:t>Total</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60" w:type="dxa"/>
            <w:vAlign w:val="bottom"/>
            <w:tcBorders>
              <w:right w:val="single" w:sz="8" w:color="auto"/>
            </w:tcBorders>
            <w:gridSpan w:val="4"/>
          </w:tcPr>
          <w:p>
            <w:pPr>
              <w:jc w:val="center"/>
              <w:ind w:right="90"/>
              <w:spacing w:after="0"/>
              <w:rPr>
                <w:sz w:val="20"/>
                <w:szCs w:val="20"/>
                <w:color w:val="auto"/>
              </w:rPr>
            </w:pPr>
            <w:r>
              <w:rPr>
                <w:rFonts w:ascii="Arial" w:cs="Arial" w:eastAsia="Arial" w:hAnsi="Arial"/>
                <w:sz w:val="10"/>
                <w:szCs w:val="10"/>
                <w:b w:val="1"/>
                <w:bCs w:val="1"/>
                <w:color w:val="auto"/>
                <w:w w:val="91"/>
              </w:rPr>
              <w:t>Preferred Stock</w:t>
            </w:r>
          </w:p>
        </w:tc>
        <w:tc>
          <w:tcPr>
            <w:tcW w:w="700" w:type="dxa"/>
            <w:vAlign w:val="bottom"/>
            <w:gridSpan w:val="3"/>
          </w:tcPr>
          <w:p>
            <w:pPr>
              <w:jc w:val="center"/>
              <w:ind w:left="170"/>
              <w:spacing w:after="0"/>
              <w:rPr>
                <w:sz w:val="20"/>
                <w:szCs w:val="20"/>
                <w:color w:val="auto"/>
              </w:rPr>
            </w:pPr>
            <w:r>
              <w:rPr>
                <w:rFonts w:ascii="Arial" w:cs="Arial" w:eastAsia="Arial" w:hAnsi="Arial"/>
                <w:sz w:val="10"/>
                <w:szCs w:val="10"/>
                <w:b w:val="1"/>
                <w:bCs w:val="1"/>
                <w:color w:val="auto"/>
                <w:w w:val="87"/>
              </w:rPr>
              <w:t>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0"/>
                <w:szCs w:val="10"/>
                <w:b w:val="1"/>
                <w:bCs w:val="1"/>
                <w:color w:val="auto"/>
                <w:w w:val="87"/>
              </w:rPr>
              <w:t>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left="190"/>
              <w:spacing w:after="0"/>
              <w:rPr>
                <w:sz w:val="20"/>
                <w:szCs w:val="20"/>
                <w:color w:val="auto"/>
              </w:rPr>
            </w:pPr>
            <w:r>
              <w:rPr>
                <w:rFonts w:ascii="Arial" w:cs="Arial" w:eastAsia="Arial" w:hAnsi="Arial"/>
                <w:sz w:val="10"/>
                <w:szCs w:val="10"/>
                <w:b w:val="1"/>
                <w:bCs w:val="1"/>
                <w:color w:val="auto"/>
                <w:w w:val="87"/>
              </w:rPr>
              <w:t>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1"/>
              </w:rPr>
              <w:t>Preferred Stock</w:t>
            </w:r>
          </w:p>
        </w:tc>
        <w:tc>
          <w:tcPr>
            <w:tcW w:w="680" w:type="dxa"/>
            <w:vAlign w:val="bottom"/>
            <w:gridSpan w:val="2"/>
          </w:tcPr>
          <w:p>
            <w:pPr>
              <w:jc w:val="center"/>
              <w:ind w:left="190"/>
              <w:spacing w:after="0"/>
              <w:rPr>
                <w:sz w:val="20"/>
                <w:szCs w:val="20"/>
                <w:color w:val="auto"/>
              </w:rPr>
            </w:pPr>
            <w:r>
              <w:rPr>
                <w:rFonts w:ascii="Arial" w:cs="Arial" w:eastAsia="Arial" w:hAnsi="Arial"/>
                <w:sz w:val="10"/>
                <w:szCs w:val="10"/>
                <w:b w:val="1"/>
                <w:bCs w:val="1"/>
                <w:color w:val="auto"/>
                <w:w w:val="87"/>
              </w:rPr>
              <w:t>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tcPr>
          <w:p>
            <w:pPr>
              <w:jc w:val="right"/>
              <w:ind w:right="230"/>
              <w:spacing w:after="0"/>
              <w:rPr>
                <w:sz w:val="20"/>
                <w:szCs w:val="20"/>
                <w:color w:val="auto"/>
              </w:rPr>
            </w:pPr>
            <w:r>
              <w:rPr>
                <w:rFonts w:ascii="Arial" w:cs="Arial" w:eastAsia="Arial" w:hAnsi="Arial"/>
                <w:sz w:val="10"/>
                <w:szCs w:val="10"/>
                <w:b w:val="1"/>
                <w:bCs w:val="1"/>
                <w:color w:val="auto"/>
              </w:rPr>
              <w:t>Common Stock</w:t>
            </w:r>
          </w:p>
        </w:tc>
        <w:tc>
          <w:tcPr>
            <w:tcW w:w="640" w:type="dxa"/>
            <w:vAlign w:val="bottom"/>
          </w:tcPr>
          <w:p>
            <w:pPr>
              <w:jc w:val="right"/>
              <w:ind w:right="170"/>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10"/>
                <w:szCs w:val="1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9"/>
              </w:rPr>
              <w:t>Accumulated</w:t>
            </w:r>
          </w:p>
        </w:tc>
        <w:tc>
          <w:tcPr>
            <w:tcW w:w="40" w:type="dxa"/>
            <w:vAlign w:val="bottom"/>
          </w:tcPr>
          <w:p>
            <w:pPr>
              <w:spacing w:after="0"/>
              <w:rPr>
                <w:sz w:val="10"/>
                <w:szCs w:val="1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0" w:type="dxa"/>
            <w:vAlign w:val="bottom"/>
            <w:tcBorders>
              <w:top w:val="single" w:sz="8" w:color="auto"/>
            </w:tcBorders>
            <w:gridSpan w:val="2"/>
          </w:tcPr>
          <w:p>
            <w:pPr>
              <w:jc w:val="right"/>
              <w:ind w:right="220"/>
              <w:spacing w:after="0" w:line="107" w:lineRule="exact"/>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right w:val="single" w:sz="8" w:color="auto"/>
            </w:tcBorders>
          </w:tcPr>
          <w:p>
            <w:pPr>
              <w:jc w:val="right"/>
              <w:ind w:right="170"/>
              <w:spacing w:after="0" w:line="107" w:lineRule="exact"/>
              <w:rPr>
                <w:sz w:val="20"/>
                <w:szCs w:val="20"/>
                <w:color w:val="auto"/>
              </w:rPr>
            </w:pPr>
            <w:r>
              <w:rPr>
                <w:rFonts w:ascii="Arial" w:cs="Arial" w:eastAsia="Arial" w:hAnsi="Arial"/>
                <w:sz w:val="10"/>
                <w:szCs w:val="10"/>
                <w:b w:val="1"/>
                <w:bCs w:val="1"/>
                <w:color w:val="auto"/>
                <w:w w:val="89"/>
              </w:rPr>
              <w:t>Amount</w:t>
            </w:r>
          </w:p>
        </w:tc>
        <w:tc>
          <w:tcPr>
            <w:tcW w:w="560" w:type="dxa"/>
            <w:vAlign w:val="bottom"/>
            <w:tcBorders>
              <w:top w:val="single" w:sz="8" w:color="auto"/>
            </w:tcBorders>
            <w:gridSpan w:val="2"/>
          </w:tcPr>
          <w:p>
            <w:pPr>
              <w:jc w:val="right"/>
              <w:ind w:right="180"/>
              <w:spacing w:after="0" w:line="107"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30"/>
              <w:spacing w:after="0" w:line="107"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30"/>
              <w:spacing w:after="0" w:line="107"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30"/>
              <w:spacing w:after="0" w:line="107"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30"/>
              <w:spacing w:after="0" w:line="107" w:lineRule="exact"/>
              <w:rPr>
                <w:sz w:val="20"/>
                <w:szCs w:val="20"/>
                <w:color w:val="auto"/>
              </w:rPr>
            </w:pPr>
            <w:r>
              <w:rPr>
                <w:rFonts w:ascii="Arial" w:cs="Arial" w:eastAsia="Arial" w:hAnsi="Arial"/>
                <w:sz w:val="10"/>
                <w:szCs w:val="10"/>
                <w:b w:val="1"/>
                <w:bCs w:val="1"/>
                <w:color w:val="auto"/>
              </w:rPr>
              <w:t>Shares</w:t>
            </w:r>
          </w:p>
        </w:tc>
        <w:tc>
          <w:tcPr>
            <w:tcW w:w="34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0"/>
                <w:szCs w:val="10"/>
                <w:b w:val="1"/>
                <w:bCs w:val="1"/>
                <w:color w:val="auto"/>
                <w:w w:val="84"/>
              </w:rPr>
              <w:t>Amount</w:t>
            </w:r>
          </w:p>
        </w:tc>
        <w:tc>
          <w:tcPr>
            <w:tcW w:w="120" w:type="dxa"/>
            <w:vAlign w:val="bottom"/>
          </w:tcPr>
          <w:p>
            <w:pPr>
              <w:spacing w:after="0"/>
              <w:rPr>
                <w:sz w:val="9"/>
                <w:szCs w:val="9"/>
                <w:color w:val="auto"/>
              </w:rPr>
            </w:pPr>
          </w:p>
        </w:tc>
        <w:tc>
          <w:tcPr>
            <w:tcW w:w="600" w:type="dxa"/>
            <w:vAlign w:val="bottom"/>
            <w:tcBorders>
              <w:top w:val="single" w:sz="8" w:color="auto"/>
            </w:tcBorders>
            <w:gridSpan w:val="2"/>
          </w:tcPr>
          <w:p>
            <w:pPr>
              <w:jc w:val="right"/>
              <w:ind w:right="200"/>
              <w:spacing w:after="0" w:line="107" w:lineRule="exact"/>
              <w:rPr>
                <w:sz w:val="20"/>
                <w:szCs w:val="20"/>
                <w:color w:val="auto"/>
              </w:rPr>
            </w:pPr>
            <w:r>
              <w:rPr>
                <w:rFonts w:ascii="Arial" w:cs="Arial" w:eastAsia="Arial" w:hAnsi="Arial"/>
                <w:sz w:val="10"/>
                <w:szCs w:val="10"/>
                <w:b w:val="1"/>
                <w:bCs w:val="1"/>
                <w:color w:val="auto"/>
              </w:rPr>
              <w:t>Shares</w:t>
            </w:r>
          </w:p>
        </w:tc>
        <w:tc>
          <w:tcPr>
            <w:tcW w:w="520" w:type="dxa"/>
            <w:vAlign w:val="bottom"/>
            <w:tcBorders>
              <w:top w:val="single" w:sz="8" w:color="auto"/>
            </w:tcBorders>
            <w:gridSpan w:val="2"/>
          </w:tcPr>
          <w:p>
            <w:pPr>
              <w:jc w:val="right"/>
              <w:ind w:right="90"/>
              <w:spacing w:after="0" w:line="107" w:lineRule="exact"/>
              <w:rPr>
                <w:sz w:val="20"/>
                <w:szCs w:val="20"/>
                <w:color w:val="auto"/>
              </w:rPr>
            </w:pPr>
            <w:r>
              <w:rPr>
                <w:rFonts w:ascii="Arial" w:cs="Arial" w:eastAsia="Arial" w:hAnsi="Arial"/>
                <w:sz w:val="10"/>
                <w:szCs w:val="10"/>
                <w:b w:val="1"/>
                <w:bCs w:val="1"/>
                <w:color w:val="auto"/>
                <w:w w:val="95"/>
              </w:rPr>
              <w:t>Amount</w:t>
            </w:r>
          </w:p>
        </w:tc>
        <w:tc>
          <w:tcPr>
            <w:tcW w:w="640" w:type="dxa"/>
            <w:vAlign w:val="bottom"/>
          </w:tcPr>
          <w:p>
            <w:pPr>
              <w:jc w:val="right"/>
              <w:ind w:right="170"/>
              <w:spacing w:after="0" w:line="107" w:lineRule="exact"/>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9"/>
                <w:szCs w:val="9"/>
                <w:color w:val="auto"/>
              </w:rPr>
            </w:pPr>
          </w:p>
        </w:tc>
        <w:tc>
          <w:tcPr>
            <w:tcW w:w="840" w:type="dxa"/>
            <w:vAlign w:val="bottom"/>
            <w:gridSpan w:val="2"/>
          </w:tcPr>
          <w:p>
            <w:pPr>
              <w:jc w:val="right"/>
              <w:ind w:right="360"/>
              <w:spacing w:after="0" w:line="107" w:lineRule="exact"/>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9"/>
                <w:szCs w:val="9"/>
                <w:color w:val="auto"/>
              </w:rPr>
            </w:pPr>
          </w:p>
        </w:tc>
        <w:tc>
          <w:tcPr>
            <w:tcW w:w="740" w:type="dxa"/>
            <w:vAlign w:val="bottom"/>
            <w:gridSpan w:val="2"/>
          </w:tcPr>
          <w:p>
            <w:pPr>
              <w:jc w:val="center"/>
              <w:ind w:right="80"/>
              <w:spacing w:after="0" w:line="107"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w w:val="99"/>
              </w:rPr>
              <w:t>Balance at December 31, 2018</w:t>
            </w:r>
          </w:p>
        </w:tc>
        <w:tc>
          <w:tcPr>
            <w:tcW w:w="4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3,333,333</w:t>
            </w:r>
          </w:p>
        </w:tc>
        <w:tc>
          <w:tcPr>
            <w:tcW w:w="12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right w:val="single" w:sz="8" w:color="auto"/>
            </w:tcBorders>
            <w:shd w:val="clear" w:color="auto" w:fill="CCEEFF"/>
          </w:tcPr>
          <w:p>
            <w:pPr>
              <w:jc w:val="right"/>
              <w:ind w:right="90"/>
              <w:spacing w:after="0" w:line="107" w:lineRule="exact"/>
              <w:rPr>
                <w:sz w:val="20"/>
                <w:szCs w:val="20"/>
                <w:color w:val="auto"/>
              </w:rPr>
            </w:pPr>
            <w:r>
              <w:rPr>
                <w:rFonts w:ascii="Arial" w:cs="Arial" w:eastAsia="Arial" w:hAnsi="Arial"/>
                <w:sz w:val="10"/>
                <w:szCs w:val="10"/>
                <w:b w:val="1"/>
                <w:bCs w:val="1"/>
                <w:color w:val="auto"/>
                <w:w w:val="94"/>
              </w:rPr>
              <w:t>9,999,999</w:t>
            </w:r>
          </w:p>
        </w:tc>
        <w:tc>
          <w:tcPr>
            <w:tcW w:w="46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w w:val="98"/>
              </w:rPr>
              <w:t>6,615,000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662</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b w:val="1"/>
                <w:bCs w:val="1"/>
                <w:color w:val="auto"/>
                <w:w w:val="98"/>
              </w:rPr>
              <w:t>2,525,800</w:t>
            </w:r>
          </w:p>
        </w:tc>
        <w:tc>
          <w:tcPr>
            <w:tcW w:w="12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w:t>
            </w:r>
          </w:p>
        </w:tc>
        <w:tc>
          <w:tcPr>
            <w:tcW w:w="2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253</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b w:val="1"/>
                <w:bCs w:val="1"/>
                <w:color w:val="auto"/>
                <w:w w:val="98"/>
              </w:rPr>
              <w:t>4,039,963</w:t>
            </w:r>
          </w:p>
        </w:tc>
        <w:tc>
          <w:tcPr>
            <w:tcW w:w="12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w:t>
            </w:r>
          </w:p>
        </w:tc>
        <w:tc>
          <w:tcPr>
            <w:tcW w:w="2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404</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b w:val="1"/>
                <w:bCs w:val="1"/>
                <w:color w:val="auto"/>
              </w:rPr>
              <w:t>-</w:t>
            </w:r>
          </w:p>
        </w:tc>
        <w:tc>
          <w:tcPr>
            <w:tcW w:w="120" w:type="dxa"/>
            <w:vAlign w:val="bottom"/>
            <w:tcBorders>
              <w:top w:val="single" w:sz="8" w:color="auto"/>
            </w:tcBorders>
            <w:shd w:val="clear" w:color="auto" w:fill="CCEEFF"/>
          </w:tcPr>
          <w:p>
            <w:pPr>
              <w:spacing w:after="0" w:line="107" w:lineRule="exact"/>
              <w:rPr>
                <w:sz w:val="20"/>
                <w:szCs w:val="20"/>
                <w:color w:val="auto"/>
              </w:rPr>
            </w:pPr>
            <w:r>
              <w:rPr>
                <w:rFonts w:ascii="Arial" w:cs="Arial" w:eastAsia="Arial" w:hAnsi="Arial"/>
                <w:sz w:val="10"/>
                <w:szCs w:val="10"/>
                <w:b w:val="1"/>
                <w:bCs w:val="1"/>
                <w:color w:val="auto"/>
              </w:rPr>
              <w:t>$</w:t>
            </w:r>
          </w:p>
        </w:tc>
        <w:tc>
          <w:tcPr>
            <w:tcW w:w="2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w w:val="95"/>
              </w:rPr>
              <w:t>35,216,000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0"/>
              <w:spacing w:after="0" w:line="107"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b w:val="1"/>
                <w:bCs w:val="1"/>
                <w:color w:val="auto"/>
              </w:rPr>
              <w:t>3,522</w:t>
            </w:r>
          </w:p>
        </w:tc>
        <w:tc>
          <w:tcPr>
            <w:tcW w:w="640" w:type="dxa"/>
            <w:vAlign w:val="bottom"/>
            <w:tcBorders>
              <w:top w:val="single" w:sz="8" w:color="auto"/>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b w:val="1"/>
                <w:bCs w:val="1"/>
                <w:color w:val="auto"/>
                <w:w w:val="85"/>
              </w:rPr>
              <w:t>$ 25,115,498</w:t>
            </w: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(23,115,904)</w:t>
            </w: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
                <w:szCs w:val="1"/>
                <w:b w:val="1"/>
                <w:bCs w:val="1"/>
                <w:color w:val="auto"/>
                <w:w w:val="4294967288"/>
              </w:rPr>
              <w:t>$</w:t>
            </w:r>
          </w:p>
        </w:tc>
        <w:tc>
          <w:tcPr>
            <w:tcW w:w="6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0"/>
                <w:szCs w:val="10"/>
                <w:b w:val="1"/>
                <w:bCs w:val="1"/>
                <w:color w:val="auto"/>
              </w:rPr>
              <w:t>2,004,435</w:t>
            </w:r>
          </w:p>
        </w:tc>
        <w:tc>
          <w:tcPr>
            <w:tcW w:w="6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440" w:type="dxa"/>
            <w:vAlign w:val="bottom"/>
          </w:tcPr>
          <w:p>
            <w:pPr>
              <w:spacing w:after="0" w:line="96" w:lineRule="exact"/>
              <w:rPr>
                <w:sz w:val="20"/>
                <w:szCs w:val="20"/>
                <w:color w:val="auto"/>
              </w:rPr>
            </w:pPr>
            <w:r>
              <w:rPr>
                <w:rFonts w:ascii="Arial" w:cs="Arial" w:eastAsia="Arial" w:hAnsi="Arial"/>
                <w:sz w:val="10"/>
                <w:szCs w:val="10"/>
                <w:color w:val="auto"/>
              </w:rPr>
              <w:t>Issuance of preferred stock in</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60" w:type="dxa"/>
            <w:vAlign w:val="bottom"/>
            <w:gridSpan w:val="2"/>
          </w:tcPr>
          <w:p>
            <w:pPr>
              <w:spacing w:after="0" w:line="107" w:lineRule="exact"/>
              <w:rPr>
                <w:sz w:val="20"/>
                <w:szCs w:val="20"/>
                <w:color w:val="auto"/>
              </w:rPr>
            </w:pPr>
            <w:r>
              <w:rPr>
                <w:rFonts w:ascii="Arial" w:cs="Arial" w:eastAsia="Arial" w:hAnsi="Arial"/>
                <w:sz w:val="10"/>
                <w:szCs w:val="10"/>
                <w:color w:val="auto"/>
                <w:w w:val="99"/>
              </w:rPr>
              <w:t>private offerings, net of issuance</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460" w:type="dxa"/>
            <w:vAlign w:val="bottom"/>
            <w:gridSpan w:val="2"/>
          </w:tcPr>
          <w:p>
            <w:pPr>
              <w:spacing w:after="0"/>
              <w:rPr>
                <w:sz w:val="20"/>
                <w:szCs w:val="20"/>
                <w:color w:val="auto"/>
              </w:rPr>
            </w:pPr>
            <w:r>
              <w:rPr>
                <w:rFonts w:ascii="Arial" w:cs="Arial" w:eastAsia="Arial" w:hAnsi="Arial"/>
                <w:sz w:val="10"/>
                <w:szCs w:val="10"/>
                <w:color w:val="auto"/>
              </w:rPr>
              <w:t>cost of $23,852</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80" w:type="dxa"/>
            <w:vAlign w:val="bottom"/>
            <w:tcBorders>
              <w:right w:val="single" w:sz="8" w:color="auto"/>
            </w:tcBorders>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rPr>
                <w:sz w:val="20"/>
                <w:szCs w:val="20"/>
                <w:color w:val="auto"/>
              </w:rPr>
            </w:pPr>
            <w:r>
              <w:rPr>
                <w:rFonts w:ascii="Arial" w:cs="Arial" w:eastAsia="Arial" w:hAnsi="Arial"/>
                <w:sz w:val="10"/>
                <w:szCs w:val="10"/>
                <w:color w:val="auto"/>
                <w:w w:val="98"/>
              </w:rPr>
              <w:t>1,236,786</w:t>
            </w:r>
          </w:p>
        </w:tc>
        <w:tc>
          <w:tcPr>
            <w:tcW w:w="120" w:type="dxa"/>
            <w:vAlign w:val="bottom"/>
          </w:tcPr>
          <w:p>
            <w:pPr>
              <w:spacing w:after="0"/>
              <w:rPr>
                <w:sz w:val="10"/>
                <w:szCs w:val="1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0"/>
                <w:szCs w:val="10"/>
                <w:color w:val="auto"/>
              </w:rPr>
              <w:t>124</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0"/>
              <w:spacing w:after="0"/>
              <w:rPr>
                <w:sz w:val="20"/>
                <w:szCs w:val="20"/>
                <w:color w:val="auto"/>
              </w:rPr>
            </w:pPr>
            <w:r>
              <w:rPr>
                <w:rFonts w:ascii="Arial" w:cs="Arial" w:eastAsia="Arial" w:hAnsi="Arial"/>
                <w:sz w:val="10"/>
                <w:szCs w:val="10"/>
                <w:color w:val="auto"/>
              </w:rPr>
              <w:t>4,304,776</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4,304,900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Stock-based compensation</w:t>
            </w:r>
          </w:p>
        </w:tc>
        <w:tc>
          <w:tcPr>
            <w:tcW w:w="60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jc w:val="right"/>
              <w:ind w:right="9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371,388</w:t>
            </w:r>
          </w:p>
        </w:tc>
        <w:tc>
          <w:tcPr>
            <w:tcW w:w="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371,388</w:t>
            </w:r>
          </w:p>
        </w:tc>
        <w:tc>
          <w:tcPr>
            <w:tcW w:w="6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vMerge w:val="continue"/>
          </w:tcPr>
          <w:p>
            <w:pPr>
              <w:spacing w:after="0"/>
              <w:rPr>
                <w:sz w:val="9"/>
                <w:szCs w:val="9"/>
                <w:color w:val="auto"/>
              </w:rPr>
            </w:pPr>
          </w:p>
        </w:tc>
        <w:tc>
          <w:tcPr>
            <w:tcW w:w="144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Net loss</w:t>
            </w:r>
          </w:p>
        </w:tc>
        <w:tc>
          <w:tcPr>
            <w:tcW w:w="60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jc w:val="right"/>
              <w:ind w:right="9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shd w:val="clear" w:color="auto" w:fill="CCEEFF"/>
          </w:tcPr>
          <w:p>
            <w:pPr>
              <w:jc w:val="right"/>
              <w:ind w:right="80"/>
              <w:spacing w:after="0" w:line="107" w:lineRule="exact"/>
              <w:rPr>
                <w:sz w:val="20"/>
                <w:szCs w:val="20"/>
                <w:color w:val="auto"/>
              </w:rPr>
            </w:pPr>
            <w:r>
              <w:rPr>
                <w:rFonts w:ascii="Arial" w:cs="Arial" w:eastAsia="Arial" w:hAnsi="Arial"/>
                <w:sz w:val="10"/>
                <w:szCs w:val="10"/>
                <w:color w:val="auto"/>
              </w:rPr>
              <w:t>(8,986,289)</w:t>
            </w:r>
          </w:p>
        </w:tc>
        <w:tc>
          <w:tcPr>
            <w:tcW w:w="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(8,986,289)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60" w:type="dxa"/>
            <w:vAlign w:val="bottom"/>
            <w:gridSpan w:val="2"/>
          </w:tcPr>
          <w:p>
            <w:pPr>
              <w:spacing w:after="0" w:line="89" w:lineRule="exact"/>
              <w:rPr>
                <w:sz w:val="20"/>
                <w:szCs w:val="20"/>
                <w:color w:val="auto"/>
              </w:rPr>
            </w:pPr>
            <w:r>
              <w:rPr>
                <w:rFonts w:ascii="Arial" w:cs="Arial" w:eastAsia="Arial" w:hAnsi="Arial"/>
                <w:sz w:val="10"/>
                <w:szCs w:val="10"/>
                <w:b w:val="1"/>
                <w:bCs w:val="1"/>
                <w:color w:val="auto"/>
              </w:rPr>
              <w:t>Balance at December 31, 2019</w:t>
            </w:r>
          </w:p>
        </w:tc>
        <w:tc>
          <w:tcPr>
            <w:tcW w:w="4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3,333,333</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right w:val="single" w:sz="8" w:color="auto"/>
            </w:tcBorders>
          </w:tcPr>
          <w:p>
            <w:pPr>
              <w:jc w:val="right"/>
              <w:ind w:right="90"/>
              <w:spacing w:after="0" w:line="89" w:lineRule="exact"/>
              <w:rPr>
                <w:sz w:val="20"/>
                <w:szCs w:val="20"/>
                <w:color w:val="auto"/>
              </w:rPr>
            </w:pPr>
            <w:r>
              <w:rPr>
                <w:rFonts w:ascii="Arial" w:cs="Arial" w:eastAsia="Arial" w:hAnsi="Arial"/>
                <w:sz w:val="10"/>
                <w:szCs w:val="10"/>
                <w:b w:val="1"/>
                <w:bCs w:val="1"/>
                <w:color w:val="auto"/>
                <w:w w:val="94"/>
              </w:rPr>
              <w:t>9,999,999</w:t>
            </w:r>
          </w:p>
        </w:tc>
        <w:tc>
          <w:tcPr>
            <w:tcW w:w="4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98"/>
              </w:rPr>
              <w:t>6,615,000</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662</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2,525,800</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253</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4,039,963</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404</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1,236,786</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124</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95"/>
              </w:rPr>
              <w:t>35,216,000</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0"/>
              <w:spacing w:after="0" w:line="89"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ind w:right="70"/>
              <w:spacing w:after="0" w:line="89" w:lineRule="exact"/>
              <w:rPr>
                <w:sz w:val="20"/>
                <w:szCs w:val="20"/>
                <w:color w:val="auto"/>
              </w:rPr>
            </w:pPr>
            <w:r>
              <w:rPr>
                <w:rFonts w:ascii="Arial" w:cs="Arial" w:eastAsia="Arial" w:hAnsi="Arial"/>
                <w:sz w:val="10"/>
                <w:szCs w:val="10"/>
                <w:b w:val="1"/>
                <w:bCs w:val="1"/>
                <w:color w:val="auto"/>
              </w:rPr>
              <w:t>3,522</w:t>
            </w:r>
          </w:p>
        </w:tc>
        <w:tc>
          <w:tcPr>
            <w:tcW w:w="640" w:type="dxa"/>
            <w:vAlign w:val="bottom"/>
            <w:tcBorders>
              <w:bottom w:val="single" w:sz="8" w:color="auto"/>
            </w:tcBorders>
          </w:tcPr>
          <w:p>
            <w:pPr>
              <w:jc w:val="right"/>
              <w:ind w:right="70"/>
              <w:spacing w:after="0" w:line="89" w:lineRule="exact"/>
              <w:rPr>
                <w:sz w:val="20"/>
                <w:szCs w:val="20"/>
                <w:color w:val="auto"/>
              </w:rPr>
            </w:pPr>
            <w:r>
              <w:rPr>
                <w:rFonts w:ascii="Arial" w:cs="Arial" w:eastAsia="Arial" w:hAnsi="Arial"/>
                <w:sz w:val="10"/>
                <w:szCs w:val="10"/>
                <w:b w:val="1"/>
                <w:bCs w:val="1"/>
                <w:color w:val="auto"/>
                <w:w w:val="85"/>
              </w:rPr>
              <w:t>$ 29,791,662</w:t>
            </w: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(32,102,193</w:t>
            </w:r>
          </w:p>
        </w:tc>
        <w:tc>
          <w:tcPr>
            <w:tcW w:w="160" w:type="dxa"/>
            <w:vAlign w:val="bottom"/>
          </w:tcPr>
          <w:p>
            <w:pPr>
              <w:jc w:val="right"/>
              <w:ind w:right="80"/>
              <w:spacing w:after="0" w:line="89" w:lineRule="exact"/>
              <w:rPr>
                <w:sz w:val="20"/>
                <w:szCs w:val="20"/>
                <w:color w:val="auto"/>
              </w:rPr>
            </w:pPr>
            <w:r>
              <w:rPr>
                <w:rFonts w:ascii="Arial" w:cs="Arial" w:eastAsia="Arial" w:hAnsi="Arial"/>
                <w:sz w:val="8"/>
                <w:szCs w:val="8"/>
                <w:b w:val="1"/>
                <w:bCs w:val="1"/>
                <w:color w:val="auto"/>
                <w:w w:val="73"/>
              </w:rPr>
              <w:t>)</w:t>
            </w:r>
          </w:p>
        </w:tc>
        <w:tc>
          <w:tcPr>
            <w:tcW w:w="40" w:type="dxa"/>
            <w:vAlign w:val="bottom"/>
            <w:tcBorders>
              <w:bottom w:val="single" w:sz="8" w:color="auto"/>
            </w:tcBorders>
          </w:tcPr>
          <w:p>
            <w:pPr>
              <w:jc w:val="right"/>
              <w:ind w:right="15"/>
              <w:spacing w:after="0"/>
              <w:rPr>
                <w:sz w:val="20"/>
                <w:szCs w:val="20"/>
                <w:color w:val="auto"/>
              </w:rPr>
            </w:pPr>
            <w:r>
              <w:rPr>
                <w:rFonts w:ascii="Arial" w:cs="Arial" w:eastAsia="Arial" w:hAnsi="Arial"/>
                <w:sz w:val="1"/>
                <w:szCs w:val="1"/>
                <w:b w:val="1"/>
                <w:bCs w:val="1"/>
                <w:color w:val="auto"/>
                <w:w w:val="4294967288"/>
              </w:rPr>
              <w:t>$</w:t>
            </w:r>
          </w:p>
        </w:tc>
        <w:tc>
          <w:tcPr>
            <w:tcW w:w="6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(2,305,566</w:t>
            </w:r>
          </w:p>
        </w:tc>
        <w:tc>
          <w:tcPr>
            <w:tcW w:w="60" w:type="dxa"/>
            <w:vAlign w:val="bottom"/>
          </w:tcPr>
          <w:p>
            <w:pPr>
              <w:jc w:val="right"/>
              <w:spacing w:after="0" w:line="89" w:lineRule="exact"/>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40" w:type="dxa"/>
            <w:vAlign w:val="bottom"/>
            <w:tcBorders>
              <w:top w:val="single" w:sz="8" w:color="CCEEFF"/>
            </w:tcBorders>
            <w:shd w:val="clear" w:color="auto" w:fill="CCEEFF"/>
          </w:tcPr>
          <w:p>
            <w:pPr>
              <w:spacing w:after="0" w:line="47" w:lineRule="exact"/>
              <w:rPr>
                <w:sz w:val="20"/>
                <w:szCs w:val="20"/>
                <w:color w:val="auto"/>
              </w:rPr>
            </w:pPr>
            <w:r>
              <w:rPr>
                <w:rFonts w:ascii="Arial" w:cs="Arial" w:eastAsia="Arial" w:hAnsi="Arial"/>
                <w:sz w:val="5"/>
                <w:szCs w:val="5"/>
                <w:color w:val="auto"/>
              </w:rPr>
              <w:t>Issuance of preferred stock in</w:t>
            </w:r>
          </w:p>
        </w:tc>
        <w:tc>
          <w:tcPr>
            <w:tcW w:w="4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right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right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right w:val="single" w:sz="8" w:color="CCEEFF"/>
            </w:tcBorders>
            <w:shd w:val="clear" w:color="auto" w:fill="CCEEFF"/>
          </w:tcPr>
          <w:p>
            <w:pPr>
              <w:spacing w:after="0"/>
              <w:rPr>
                <w:sz w:val="4"/>
                <w:szCs w:val="4"/>
                <w:color w:val="auto"/>
              </w:rPr>
            </w:pPr>
          </w:p>
        </w:tc>
        <w:tc>
          <w:tcPr>
            <w:tcW w:w="64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lef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w w:val="98"/>
              </w:rPr>
              <w:t>private offerings, net of issuance</w:t>
            </w:r>
          </w:p>
        </w:tc>
        <w:tc>
          <w:tcPr>
            <w:tcW w:w="4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0"/>
                <w:szCs w:val="10"/>
                <w:color w:val="auto"/>
              </w:rPr>
              <w:t>cost of $87,949</w:t>
            </w: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w w:val="98"/>
              </w:rPr>
              <w:t>2,853,754</w:t>
            </w:r>
          </w:p>
        </w:tc>
        <w:tc>
          <w:tcPr>
            <w:tcW w:w="12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285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w:t>
            </w:r>
          </w:p>
        </w:tc>
        <w:tc>
          <w:tcPr>
            <w:tcW w:w="64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0"/>
                <w:szCs w:val="10"/>
                <w:color w:val="auto"/>
              </w:rPr>
              <w:t>9,899,921</w:t>
            </w:r>
          </w:p>
        </w:tc>
        <w:tc>
          <w:tcPr>
            <w:tcW w:w="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9,900,206</w:t>
            </w:r>
          </w:p>
        </w:tc>
        <w:tc>
          <w:tcPr>
            <w:tcW w:w="6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line="107" w:lineRule="exact"/>
              <w:rPr>
                <w:sz w:val="20"/>
                <w:szCs w:val="20"/>
                <w:color w:val="auto"/>
              </w:rPr>
            </w:pPr>
            <w:r>
              <w:rPr>
                <w:rFonts w:ascii="Arial" w:cs="Arial" w:eastAsia="Arial" w:hAnsi="Arial"/>
                <w:sz w:val="10"/>
                <w:szCs w:val="10"/>
                <w:color w:val="auto"/>
              </w:rPr>
              <w:t>Stock-based compensation</w:t>
            </w:r>
          </w:p>
        </w:tc>
        <w:tc>
          <w:tcPr>
            <w:tcW w:w="60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Borders>
              <w:right w:val="single" w:sz="8" w:color="auto"/>
            </w:tcBorders>
          </w:tcPr>
          <w:p>
            <w:pPr>
              <w:jc w:val="right"/>
              <w:ind w:right="9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2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34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34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8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34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00" w:type="dxa"/>
            <w:vAlign w:val="bottom"/>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640" w:type="dxa"/>
            <w:vAlign w:val="bottom"/>
          </w:tcPr>
          <w:p>
            <w:pPr>
              <w:jc w:val="right"/>
              <w:ind w:right="70"/>
              <w:spacing w:after="0" w:line="107" w:lineRule="exact"/>
              <w:rPr>
                <w:sz w:val="20"/>
                <w:szCs w:val="20"/>
                <w:color w:val="auto"/>
              </w:rPr>
            </w:pPr>
            <w:r>
              <w:rPr>
                <w:rFonts w:ascii="Arial" w:cs="Arial" w:eastAsia="Arial" w:hAnsi="Arial"/>
                <w:sz w:val="10"/>
                <w:szCs w:val="10"/>
                <w:color w:val="auto"/>
              </w:rPr>
              <w:t>1,295,423</w:t>
            </w:r>
          </w:p>
        </w:tc>
        <w:tc>
          <w:tcPr>
            <w:tcW w:w="80" w:type="dxa"/>
            <w:vAlign w:val="bottom"/>
          </w:tcPr>
          <w:p>
            <w:pPr>
              <w:spacing w:after="0"/>
              <w:rPr>
                <w:sz w:val="9"/>
                <w:szCs w:val="9"/>
                <w:color w:val="auto"/>
              </w:rPr>
            </w:pPr>
          </w:p>
        </w:tc>
        <w:tc>
          <w:tcPr>
            <w:tcW w:w="840" w:type="dxa"/>
            <w:vAlign w:val="bottom"/>
            <w:gridSpan w:val="2"/>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680" w:type="dxa"/>
            <w:vAlign w:val="bottom"/>
          </w:tcPr>
          <w:p>
            <w:pPr>
              <w:jc w:val="right"/>
              <w:spacing w:after="0" w:line="107" w:lineRule="exact"/>
              <w:rPr>
                <w:sz w:val="20"/>
                <w:szCs w:val="20"/>
                <w:color w:val="auto"/>
              </w:rPr>
            </w:pPr>
            <w:r>
              <w:rPr>
                <w:rFonts w:ascii="Arial" w:cs="Arial" w:eastAsia="Arial" w:hAnsi="Arial"/>
                <w:sz w:val="10"/>
                <w:szCs w:val="10"/>
                <w:color w:val="auto"/>
              </w:rPr>
              <w:t>1,295,423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w w:val="94"/>
              </w:rPr>
              <w:t>Termination of redemption feature</w:t>
            </w:r>
          </w:p>
        </w:tc>
        <w:tc>
          <w:tcPr>
            <w:tcW w:w="600" w:type="dxa"/>
            <w:vAlign w:val="bottom"/>
            <w:tcBorders>
              <w:right w:val="single" w:sz="8" w:color="CCEEFF"/>
            </w:tcBorders>
            <w:gridSpan w:val="2"/>
            <w:shd w:val="clear" w:color="auto" w:fill="CCEEFF"/>
          </w:tcPr>
          <w:p>
            <w:pPr>
              <w:jc w:val="right"/>
              <w:ind w:right="80"/>
              <w:spacing w:after="0" w:line="107" w:lineRule="exact"/>
              <w:rPr>
                <w:sz w:val="20"/>
                <w:szCs w:val="20"/>
                <w:color w:val="auto"/>
              </w:rPr>
            </w:pPr>
            <w:r>
              <w:rPr>
                <w:rFonts w:ascii="Arial" w:cs="Arial" w:eastAsia="Arial" w:hAnsi="Arial"/>
                <w:sz w:val="10"/>
                <w:szCs w:val="10"/>
                <w:color w:val="auto"/>
                <w:w w:val="97"/>
              </w:rPr>
              <w:t>(3,333,333)</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w w:val="89"/>
              </w:rPr>
              <w:t>(9,999,999)</w:t>
            </w:r>
          </w:p>
        </w:tc>
        <w:tc>
          <w:tcPr>
            <w:tcW w:w="56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w w:val="98"/>
              </w:rPr>
              <w:t>3,333,333</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w w:val="95"/>
              </w:rPr>
              <w:t>333</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9,999,666</w:t>
            </w:r>
          </w:p>
        </w:tc>
        <w:tc>
          <w:tcPr>
            <w:tcW w:w="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9,999,999</w:t>
            </w:r>
          </w:p>
        </w:tc>
        <w:tc>
          <w:tcPr>
            <w:tcW w:w="6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vMerge w:val="continue"/>
          </w:tcPr>
          <w:p>
            <w:pPr>
              <w:spacing w:after="0"/>
              <w:rPr>
                <w:sz w:val="9"/>
                <w:szCs w:val="9"/>
                <w:color w:val="auto"/>
              </w:rPr>
            </w:pPr>
          </w:p>
        </w:tc>
        <w:tc>
          <w:tcPr>
            <w:tcW w:w="144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Net income</w:t>
            </w:r>
          </w:p>
        </w:tc>
        <w:tc>
          <w:tcPr>
            <w:tcW w:w="60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jc w:val="right"/>
              <w:ind w:right="90"/>
              <w:spacing w:after="0" w:line="10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560" w:type="dxa"/>
            <w:vAlign w:val="bottom"/>
            <w:tcBorders>
              <w:right w:val="single" w:sz="8" w:color="CCEEFF"/>
            </w:tcBorders>
            <w:shd w:val="clear" w:color="auto" w:fill="CCEEFF"/>
          </w:tcPr>
          <w:p>
            <w:pPr>
              <w:jc w:val="right"/>
              <w:ind w:right="5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7"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640" w:type="dxa"/>
            <w:vAlign w:val="bottom"/>
            <w:tcBorders>
              <w:right w:val="single" w:sz="8" w:color="CCEEFF"/>
            </w:tcBorders>
            <w:shd w:val="clear" w:color="auto" w:fill="CCEEFF"/>
          </w:tcPr>
          <w:p>
            <w:pPr>
              <w:jc w:val="right"/>
              <w:ind w:right="70"/>
              <w:spacing w:after="0" w:line="107"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40" w:type="dxa"/>
            <w:vAlign w:val="bottom"/>
            <w:tcBorders>
              <w:right w:val="single" w:sz="8" w:color="CCEEFF"/>
            </w:tcBorders>
            <w:gridSpan w:val="2"/>
            <w:shd w:val="clear" w:color="auto" w:fill="CCEEFF"/>
          </w:tcPr>
          <w:p>
            <w:pPr>
              <w:jc w:val="right"/>
              <w:ind w:right="120"/>
              <w:spacing w:after="0" w:line="107" w:lineRule="exact"/>
              <w:rPr>
                <w:sz w:val="20"/>
                <w:szCs w:val="20"/>
                <w:color w:val="auto"/>
              </w:rPr>
            </w:pPr>
            <w:r>
              <w:rPr>
                <w:rFonts w:ascii="Arial" w:cs="Arial" w:eastAsia="Arial" w:hAnsi="Arial"/>
                <w:sz w:val="10"/>
                <w:szCs w:val="10"/>
                <w:color w:val="auto"/>
              </w:rPr>
              <w:t>20,117,773</w:t>
            </w: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20,117,773</w:t>
            </w:r>
          </w:p>
        </w:tc>
        <w:tc>
          <w:tcPr>
            <w:tcW w:w="6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60" w:type="dxa"/>
            <w:vAlign w:val="bottom"/>
            <w:gridSpan w:val="2"/>
          </w:tcPr>
          <w:p>
            <w:pPr>
              <w:spacing w:after="0" w:line="89" w:lineRule="exact"/>
              <w:rPr>
                <w:sz w:val="20"/>
                <w:szCs w:val="20"/>
                <w:color w:val="auto"/>
              </w:rPr>
            </w:pPr>
            <w:r>
              <w:rPr>
                <w:rFonts w:ascii="Arial" w:cs="Arial" w:eastAsia="Arial" w:hAnsi="Arial"/>
                <w:sz w:val="10"/>
                <w:szCs w:val="10"/>
                <w:b w:val="1"/>
                <w:bCs w:val="1"/>
                <w:color w:val="auto"/>
              </w:rPr>
              <w:t>Balance at December 31, 2020</w:t>
            </w:r>
          </w:p>
        </w:tc>
        <w:tc>
          <w:tcPr>
            <w:tcW w:w="4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7"/>
                <w:szCs w:val="7"/>
                <w:color w:val="auto"/>
              </w:rPr>
            </w:pPr>
          </w:p>
        </w:tc>
        <w:tc>
          <w:tcPr>
            <w:tcW w:w="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right w:val="single" w:sz="8" w:color="auto"/>
            </w:tcBorders>
          </w:tcPr>
          <w:p>
            <w:pPr>
              <w:jc w:val="right"/>
              <w:ind w:right="90"/>
              <w:spacing w:after="0" w:line="89" w:lineRule="exact"/>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98"/>
              </w:rPr>
              <w:t>6,615,000</w:t>
            </w: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662</w:t>
            </w:r>
          </w:p>
        </w:tc>
        <w:tc>
          <w:tcPr>
            <w:tcW w:w="100" w:type="dxa"/>
            <w:vAlign w:val="bottom"/>
          </w:tcPr>
          <w:p>
            <w:pPr>
              <w:spacing w:after="0"/>
              <w:rPr>
                <w:sz w:val="7"/>
                <w:szCs w:val="7"/>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2,525,800</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253</w:t>
            </w:r>
          </w:p>
        </w:tc>
        <w:tc>
          <w:tcPr>
            <w:tcW w:w="100" w:type="dxa"/>
            <w:vAlign w:val="bottom"/>
          </w:tcPr>
          <w:p>
            <w:pPr>
              <w:spacing w:after="0"/>
              <w:rPr>
                <w:sz w:val="7"/>
                <w:szCs w:val="7"/>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4,039,963</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404</w:t>
            </w:r>
          </w:p>
        </w:tc>
        <w:tc>
          <w:tcPr>
            <w:tcW w:w="100" w:type="dxa"/>
            <w:vAlign w:val="bottom"/>
          </w:tcPr>
          <w:p>
            <w:pPr>
              <w:spacing w:after="0"/>
              <w:rPr>
                <w:sz w:val="7"/>
                <w:szCs w:val="7"/>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3,333,333</w:t>
            </w:r>
          </w:p>
        </w:tc>
        <w:tc>
          <w:tcPr>
            <w:tcW w:w="18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95"/>
              </w:rPr>
              <w:t>333</w:t>
            </w:r>
          </w:p>
        </w:tc>
        <w:tc>
          <w:tcPr>
            <w:tcW w:w="100" w:type="dxa"/>
            <w:vAlign w:val="bottom"/>
          </w:tcPr>
          <w:p>
            <w:pPr>
              <w:spacing w:after="0"/>
              <w:rPr>
                <w:sz w:val="7"/>
                <w:szCs w:val="7"/>
                <w:color w:val="auto"/>
              </w:rPr>
            </w:pPr>
          </w:p>
        </w:tc>
        <w:tc>
          <w:tcPr>
            <w:tcW w:w="560" w:type="dxa"/>
            <w:vAlign w:val="bottom"/>
            <w:tcBorders>
              <w:bottom w:val="single" w:sz="8" w:color="auto"/>
            </w:tcBorders>
          </w:tcPr>
          <w:p>
            <w:pPr>
              <w:jc w:val="right"/>
              <w:ind w:right="50"/>
              <w:spacing w:after="0" w:line="89" w:lineRule="exact"/>
              <w:rPr>
                <w:sz w:val="20"/>
                <w:szCs w:val="20"/>
                <w:color w:val="auto"/>
              </w:rPr>
            </w:pPr>
            <w:r>
              <w:rPr>
                <w:rFonts w:ascii="Arial" w:cs="Arial" w:eastAsia="Arial" w:hAnsi="Arial"/>
                <w:sz w:val="10"/>
                <w:szCs w:val="10"/>
                <w:b w:val="1"/>
                <w:bCs w:val="1"/>
                <w:color w:val="auto"/>
                <w:w w:val="98"/>
              </w:rPr>
              <w:t>4,090,540</w:t>
            </w:r>
          </w:p>
        </w:tc>
        <w:tc>
          <w:tcPr>
            <w:tcW w:w="120" w:type="dxa"/>
            <w:vAlign w:val="bottom"/>
            <w:tcBorders>
              <w:bottom w:val="single" w:sz="8" w:color="auto"/>
            </w:tcBorders>
          </w:tcPr>
          <w:p>
            <w:pPr>
              <w:spacing w:after="0" w:line="89"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409</w:t>
            </w:r>
          </w:p>
        </w:tc>
        <w:tc>
          <w:tcPr>
            <w:tcW w:w="120" w:type="dxa"/>
            <w:vAlign w:val="bottom"/>
          </w:tcPr>
          <w:p>
            <w:pPr>
              <w:spacing w:after="0"/>
              <w:rPr>
                <w:sz w:val="7"/>
                <w:szCs w:val="7"/>
                <w:color w:val="auto"/>
              </w:rPr>
            </w:pPr>
          </w:p>
        </w:tc>
        <w:tc>
          <w:tcPr>
            <w:tcW w:w="5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w w:val="95"/>
              </w:rPr>
              <w:t>35,216,000</w:t>
            </w:r>
          </w:p>
        </w:tc>
        <w:tc>
          <w:tcPr>
            <w:tcW w:w="100" w:type="dxa"/>
            <w:vAlign w:val="bottom"/>
          </w:tcPr>
          <w:p>
            <w:pPr>
              <w:spacing w:after="0"/>
              <w:rPr>
                <w:sz w:val="7"/>
                <w:szCs w:val="7"/>
                <w:color w:val="auto"/>
              </w:rPr>
            </w:pPr>
          </w:p>
        </w:tc>
        <w:tc>
          <w:tcPr>
            <w:tcW w:w="120" w:type="dxa"/>
            <w:vAlign w:val="bottom"/>
            <w:tcBorders>
              <w:bottom w:val="single" w:sz="8" w:color="auto"/>
            </w:tcBorders>
          </w:tcPr>
          <w:p>
            <w:pPr>
              <w:jc w:val="right"/>
              <w:ind w:right="10"/>
              <w:spacing w:after="0" w:line="89" w:lineRule="exact"/>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ind w:right="70"/>
              <w:spacing w:after="0" w:line="89" w:lineRule="exact"/>
              <w:rPr>
                <w:sz w:val="20"/>
                <w:szCs w:val="20"/>
                <w:color w:val="auto"/>
              </w:rPr>
            </w:pPr>
            <w:r>
              <w:rPr>
                <w:rFonts w:ascii="Arial" w:cs="Arial" w:eastAsia="Arial" w:hAnsi="Arial"/>
                <w:sz w:val="10"/>
                <w:szCs w:val="10"/>
                <w:b w:val="1"/>
                <w:bCs w:val="1"/>
                <w:color w:val="auto"/>
              </w:rPr>
              <w:t>3,522</w:t>
            </w:r>
          </w:p>
        </w:tc>
        <w:tc>
          <w:tcPr>
            <w:tcW w:w="640" w:type="dxa"/>
            <w:vAlign w:val="bottom"/>
            <w:tcBorders>
              <w:bottom w:val="single" w:sz="8" w:color="auto"/>
            </w:tcBorders>
          </w:tcPr>
          <w:p>
            <w:pPr>
              <w:jc w:val="right"/>
              <w:ind w:right="70"/>
              <w:spacing w:after="0" w:line="89" w:lineRule="exact"/>
              <w:rPr>
                <w:sz w:val="20"/>
                <w:szCs w:val="20"/>
                <w:color w:val="auto"/>
              </w:rPr>
            </w:pPr>
            <w:r>
              <w:rPr>
                <w:rFonts w:ascii="Arial" w:cs="Arial" w:eastAsia="Arial" w:hAnsi="Arial"/>
                <w:sz w:val="10"/>
                <w:szCs w:val="10"/>
                <w:b w:val="1"/>
                <w:bCs w:val="1"/>
                <w:color w:val="auto"/>
                <w:w w:val="85"/>
              </w:rPr>
              <w:t>$ 50,986,672</w:t>
            </w: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(11,984,420</w:t>
            </w:r>
          </w:p>
        </w:tc>
        <w:tc>
          <w:tcPr>
            <w:tcW w:w="160" w:type="dxa"/>
            <w:vAlign w:val="bottom"/>
          </w:tcPr>
          <w:p>
            <w:pPr>
              <w:jc w:val="right"/>
              <w:ind w:right="80"/>
              <w:spacing w:after="0" w:line="89" w:lineRule="exact"/>
              <w:rPr>
                <w:sz w:val="20"/>
                <w:szCs w:val="20"/>
                <w:color w:val="auto"/>
              </w:rPr>
            </w:pPr>
            <w:r>
              <w:rPr>
                <w:rFonts w:ascii="Arial" w:cs="Arial" w:eastAsia="Arial" w:hAnsi="Arial"/>
                <w:sz w:val="8"/>
                <w:szCs w:val="8"/>
                <w:b w:val="1"/>
                <w:bCs w:val="1"/>
                <w:color w:val="auto"/>
                <w:w w:val="73"/>
              </w:rPr>
              <w:t>)</w:t>
            </w:r>
          </w:p>
        </w:tc>
        <w:tc>
          <w:tcPr>
            <w:tcW w:w="40" w:type="dxa"/>
            <w:vAlign w:val="bottom"/>
            <w:tcBorders>
              <w:bottom w:val="single" w:sz="8" w:color="auto"/>
            </w:tcBorders>
          </w:tcPr>
          <w:p>
            <w:pPr>
              <w:jc w:val="right"/>
              <w:ind w:right="15"/>
              <w:spacing w:after="0"/>
              <w:rPr>
                <w:sz w:val="20"/>
                <w:szCs w:val="20"/>
                <w:color w:val="auto"/>
              </w:rPr>
            </w:pPr>
            <w:r>
              <w:rPr>
                <w:rFonts w:ascii="Arial" w:cs="Arial" w:eastAsia="Arial" w:hAnsi="Arial"/>
                <w:sz w:val="1"/>
                <w:szCs w:val="1"/>
                <w:b w:val="1"/>
                <w:bCs w:val="1"/>
                <w:color w:val="auto"/>
                <w:w w:val="4294967288"/>
              </w:rPr>
              <w:t>$</w:t>
            </w:r>
          </w:p>
        </w:tc>
        <w:tc>
          <w:tcPr>
            <w:tcW w:w="68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10"/>
                <w:szCs w:val="10"/>
                <w:b w:val="1"/>
                <w:bCs w:val="1"/>
                <w:color w:val="auto"/>
              </w:rPr>
              <w:t>39,007,835</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0"/>
              </w:rPr>
              <w:t>Year ended</w:t>
            </w:r>
          </w:p>
        </w:tc>
      </w:tr>
      <w:tr>
        <w:trPr>
          <w:trHeight w:val="172"/>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20,117,773</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19"/>
              <w:spacing w:after="0"/>
              <w:rPr>
                <w:sz w:val="20"/>
                <w:szCs w:val="20"/>
                <w:color w:val="auto"/>
              </w:rPr>
            </w:pPr>
            <w:r>
              <w:rPr>
                <w:rFonts w:ascii="Arial" w:cs="Arial" w:eastAsia="Arial" w:hAnsi="Arial"/>
                <w:sz w:val="14"/>
                <w:szCs w:val="14"/>
                <w:color w:val="auto"/>
              </w:rPr>
              <w:t>(8,986,289)</w:t>
            </w: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4"/>
                <w:szCs w:val="14"/>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383,142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4"/>
                <w:szCs w:val="14"/>
                <w:color w:val="auto"/>
              </w:rPr>
              <w:t>197,210</w:t>
            </w: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right-of-use assets</w:t>
            </w:r>
          </w:p>
        </w:tc>
        <w:tc>
          <w:tcPr>
            <w:tcW w:w="3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165,036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126,197</w:t>
            </w: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1,295,423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4"/>
                <w:szCs w:val="14"/>
                <w:color w:val="auto"/>
              </w:rPr>
              <w:t>371,388</w:t>
            </w: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Gain (loss) on sale of equipment</w:t>
            </w:r>
          </w:p>
        </w:tc>
        <w:tc>
          <w:tcPr>
            <w:tcW w:w="3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(2,252)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421</w:t>
            </w: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(17,750,762)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(2,562,909)</w:t>
            </w: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4"/>
                <w:szCs w:val="14"/>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4"/>
                <w:szCs w:val="14"/>
                <w:color w:val="auto"/>
              </w:rPr>
              <w:t>(1,151,130)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9"/>
              <w:spacing w:after="0"/>
              <w:rPr>
                <w:sz w:val="20"/>
                <w:szCs w:val="20"/>
                <w:color w:val="auto"/>
              </w:rPr>
            </w:pPr>
            <w:r>
              <w:rPr>
                <w:rFonts w:ascii="Arial" w:cs="Arial" w:eastAsia="Arial" w:hAnsi="Arial"/>
                <w:sz w:val="14"/>
                <w:szCs w:val="14"/>
                <w:color w:val="auto"/>
              </w:rPr>
              <w:t>(45,512)</w:t>
            </w: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assets - operating lease</w:t>
            </w:r>
          </w:p>
        </w:tc>
        <w:tc>
          <w:tcPr>
            <w:tcW w:w="3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215,122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(10,848)</w:t>
            </w: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Deferred income</w:t>
            </w:r>
          </w:p>
        </w:tc>
        <w:tc>
          <w:tcPr>
            <w:tcW w:w="300" w:type="dxa"/>
            <w:vAlign w:val="bottom"/>
          </w:tcPr>
          <w:p>
            <w:pPr>
              <w:spacing w:after="0"/>
              <w:rPr>
                <w:sz w:val="14"/>
                <w:szCs w:val="14"/>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Due to related party</w:t>
            </w:r>
          </w:p>
        </w:tc>
        <w:tc>
          <w:tcPr>
            <w:tcW w:w="3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10,528</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(6,353)</w:t>
            </w:r>
          </w:p>
        </w:tc>
      </w:tr>
      <w:tr>
        <w:trPr>
          <w:trHeight w:val="172"/>
        </w:trPr>
        <w:tc>
          <w:tcPr>
            <w:tcW w:w="7020" w:type="dxa"/>
            <w:vAlign w:val="bottom"/>
          </w:tcPr>
          <w:p>
            <w:pPr>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4"/>
                <w:szCs w:val="14"/>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5,211,593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1,555,046</w:t>
            </w:r>
          </w:p>
        </w:tc>
        <w:tc>
          <w:tcPr>
            <w:tcW w:w="100" w:type="dxa"/>
            <w:vAlign w:val="bottom"/>
          </w:tcPr>
          <w:p>
            <w:pPr>
              <w:spacing w:after="0"/>
              <w:rPr>
                <w:sz w:val="14"/>
                <w:szCs w:val="14"/>
                <w:color w:val="auto"/>
              </w:rPr>
            </w:pPr>
          </w:p>
        </w:tc>
      </w:tr>
      <w:tr>
        <w:trPr>
          <w:trHeight w:val="172"/>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3,580</w:t>
            </w:r>
          </w:p>
        </w:tc>
      </w:tr>
      <w:tr>
        <w:trPr>
          <w:trHeight w:val="173"/>
        </w:trPr>
        <w:tc>
          <w:tcPr>
            <w:tcW w:w="7020" w:type="dxa"/>
            <w:vAlign w:val="bottom"/>
          </w:tcPr>
          <w:p>
            <w:pPr>
              <w:spacing w:after="0"/>
              <w:rPr>
                <w:sz w:val="20"/>
                <w:szCs w:val="20"/>
                <w:color w:val="auto"/>
              </w:rPr>
            </w:pPr>
            <w:r>
              <w:rPr>
                <w:rFonts w:ascii="Arial" w:cs="Arial" w:eastAsia="Arial" w:hAnsi="Arial"/>
                <w:sz w:val="14"/>
                <w:szCs w:val="14"/>
                <w:color w:val="auto"/>
              </w:rPr>
              <w:t>Accrued expense and other current liabilities</w:t>
            </w: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1,410,324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59"/>
              <w:spacing w:after="0"/>
              <w:rPr>
                <w:sz w:val="20"/>
                <w:szCs w:val="20"/>
                <w:color w:val="auto"/>
              </w:rPr>
            </w:pPr>
            <w:r>
              <w:rPr>
                <w:rFonts w:ascii="Arial" w:cs="Arial" w:eastAsia="Arial" w:hAnsi="Arial"/>
                <w:sz w:val="14"/>
                <w:szCs w:val="14"/>
                <w:color w:val="auto"/>
              </w:rPr>
              <w:t>143,628</w:t>
            </w:r>
          </w:p>
        </w:tc>
      </w:tr>
      <w:tr>
        <w:trPr>
          <w:trHeight w:val="17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10,004,795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(9,214,440</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bl>
    <w:p>
      <w:pPr>
        <w:spacing w:after="0" w:line="157" w:lineRule="exact"/>
        <w:rPr>
          <w:sz w:val="20"/>
          <w:szCs w:val="20"/>
          <w:color w:val="auto"/>
        </w:rPr>
      </w:pPr>
    </w:p>
    <w:p>
      <w:pPr>
        <w:sectPr>
          <w:pgSz w:w="11900" w:h="16838" w:orient="portrait"/>
          <w:cols w:equalWidth="0" w:num="1">
            <w:col w:w="11280"/>
          </w:cols>
          <w:pgMar w:left="300" w:top="554" w:right="319" w:bottom="1440" w:gutter="0" w:footer="0" w:header="0"/>
        </w:sectPr>
      </w:pPr>
    </w:p>
    <w:p>
      <w:pPr>
        <w:spacing w:after="0"/>
        <w:rPr>
          <w:sz w:val="20"/>
          <w:szCs w:val="20"/>
          <w:color w:val="auto"/>
        </w:rPr>
      </w:pPr>
      <w:r>
        <w:rPr>
          <w:rFonts w:ascii="Arial" w:cs="Arial" w:eastAsia="Arial" w:hAnsi="Arial"/>
          <w:sz w:val="12"/>
          <w:szCs w:val="12"/>
          <w:b w:val="1"/>
          <w:bCs w:val="1"/>
          <w:color w:val="auto"/>
        </w:rPr>
        <w:t>Cash flows from investing activities: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Proceeds from the sale of equipment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Purchases of equipment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40" w:type="dxa"/>
            <w:vAlign w:val="bottom"/>
            <w:gridSpan w:val="2"/>
          </w:tcPr>
          <w:p>
            <w:pPr>
              <w:jc w:val="right"/>
              <w:ind w:right="279"/>
              <w:spacing w:after="0"/>
              <w:rPr>
                <w:sz w:val="20"/>
                <w:szCs w:val="20"/>
                <w:color w:val="auto"/>
              </w:rPr>
            </w:pPr>
            <w:r>
              <w:rPr>
                <w:rFonts w:ascii="Arial" w:cs="Arial" w:eastAsia="Arial" w:hAnsi="Arial"/>
                <w:sz w:val="14"/>
                <w:szCs w:val="14"/>
                <w:color w:val="auto"/>
              </w:rPr>
              <w:t>9,000</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84"/>
        </w:trPr>
        <w:tc>
          <w:tcPr>
            <w:tcW w:w="2240" w:type="dxa"/>
            <w:vAlign w:val="bottom"/>
            <w:gridSpan w:val="2"/>
          </w:tcPr>
          <w:p>
            <w:pPr>
              <w:jc w:val="right"/>
              <w:ind w:right="239"/>
              <w:spacing w:after="0"/>
              <w:rPr>
                <w:sz w:val="20"/>
                <w:szCs w:val="20"/>
                <w:color w:val="auto"/>
              </w:rPr>
            </w:pPr>
            <w:r>
              <w:rPr>
                <w:rFonts w:ascii="Arial" w:cs="Arial" w:eastAsia="Arial" w:hAnsi="Arial"/>
                <w:sz w:val="14"/>
                <w:szCs w:val="14"/>
                <w:color w:val="auto"/>
              </w:rPr>
              <w:t>(12,731,702)</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(608,748)</w:t>
            </w:r>
          </w:p>
        </w:tc>
      </w:tr>
      <w:tr>
        <w:trPr>
          <w:trHeight w:val="173"/>
        </w:trPr>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(12,722,702</w:t>
            </w:r>
          </w:p>
        </w:tc>
        <w:tc>
          <w:tcPr>
            <w:tcW w:w="320" w:type="dxa"/>
            <w:vAlign w:val="bottom"/>
          </w:tcPr>
          <w:p>
            <w:pPr>
              <w:jc w:val="right"/>
              <w:ind w:right="239"/>
              <w:spacing w:after="0"/>
              <w:rPr>
                <w:sz w:val="20"/>
                <w:szCs w:val="20"/>
                <w:color w:val="auto"/>
              </w:rPr>
            </w:pPr>
            <w:r>
              <w:rPr>
                <w:rFonts w:ascii="Arial" w:cs="Arial" w:eastAsia="Arial" w:hAnsi="Arial"/>
                <w:sz w:val="8"/>
                <w:szCs w:val="8"/>
                <w:color w:val="auto"/>
                <w:w w:val="73"/>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(608,748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-462915</wp:posOffset>
            </wp:positionV>
            <wp:extent cx="7160260" cy="1092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-4453255</wp:posOffset>
            </wp:positionH>
            <wp:positionV relativeFrom="paragraph">
              <wp:posOffset>-244475</wp:posOffset>
            </wp:positionV>
            <wp:extent cx="7160260" cy="115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1155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00" w:space="720"/>
            <w:col w:w="4260"/>
          </w:cols>
          <w:pgMar w:left="300" w:top="554" w:right="31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preferred stock, net of debt issuance costs</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9,900,206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4,304,900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Proceeds from Paycheck Protection Program SBA Loan</w:t>
            </w:r>
          </w:p>
        </w:tc>
        <w:tc>
          <w:tcPr>
            <w:tcW w:w="6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661,612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Payments on related party notes payable</w:t>
            </w:r>
          </w:p>
        </w:tc>
        <w:tc>
          <w:tcPr>
            <w:tcW w:w="6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(1,364,644)</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(405,112)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Payments of notes payable</w:t>
            </w:r>
          </w:p>
        </w:tc>
        <w:tc>
          <w:tcPr>
            <w:tcW w:w="66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(32,506)</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(74,876)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Principal payments on finance lease</w:t>
            </w:r>
          </w:p>
        </w:tc>
        <w:tc>
          <w:tcPr>
            <w:tcW w:w="6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(182,347)</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020" w:type="dxa"/>
            <w:vAlign w:val="bottom"/>
            <w:gridSpan w:val="2"/>
          </w:tcPr>
          <w:p>
            <w:pPr>
              <w:spacing w:after="0" w:line="153" w:lineRule="exact"/>
              <w:rPr>
                <w:sz w:val="20"/>
                <w:szCs w:val="20"/>
                <w:color w:val="auto"/>
              </w:rPr>
            </w:pPr>
            <w:r>
              <w:rPr>
                <w:rFonts w:ascii="Arial" w:cs="Arial" w:eastAsia="Arial" w:hAnsi="Arial"/>
                <w:sz w:val="14"/>
                <w:szCs w:val="14"/>
                <w:color w:val="auto"/>
              </w:rPr>
              <w:t>Net cash provided by financing activities</w:t>
            </w:r>
          </w:p>
        </w:tc>
        <w:tc>
          <w:tcPr>
            <w:tcW w:w="66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8,982,321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auto"/>
              </w:rPr>
              <w:t>3,681,628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6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6,264,414</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(6,141,560)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20" w:type="dxa"/>
            <w:vAlign w:val="bottom"/>
            <w:gridSpan w:val="2"/>
          </w:tcPr>
          <w:p>
            <w:pPr>
              <w:spacing w:after="0"/>
              <w:rPr>
                <w:sz w:val="20"/>
                <w:szCs w:val="20"/>
                <w:color w:val="auto"/>
              </w:rPr>
            </w:pPr>
            <w:r>
              <w:rPr>
                <w:rFonts w:ascii="Arial" w:cs="Arial" w:eastAsia="Arial" w:hAnsi="Arial"/>
                <w:sz w:val="14"/>
                <w:szCs w:val="14"/>
                <w:color w:val="auto"/>
              </w:rPr>
              <w:t>Beginning of year</w:t>
            </w:r>
          </w:p>
        </w:tc>
        <w:tc>
          <w:tcPr>
            <w:tcW w:w="6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6,345,969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12,487,529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 of year</w:t>
            </w:r>
          </w:p>
        </w:tc>
        <w:tc>
          <w:tcPr>
            <w:tcW w:w="66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12,610,383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6,345,969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7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Cash paid for interest</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469,151</w:t>
            </w:r>
          </w:p>
        </w:tc>
        <w:tc>
          <w:tcPr>
            <w:tcW w:w="82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428,476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Supplemental information on non-cash investing and finance activities:</w:t>
            </w:r>
          </w:p>
        </w:tc>
        <w:tc>
          <w:tcPr>
            <w:tcW w:w="6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1,773,135</w:t>
            </w:r>
          </w:p>
        </w:tc>
        <w:tc>
          <w:tcPr>
            <w:tcW w:w="180" w:type="dxa"/>
            <w:vAlign w:val="bottom"/>
          </w:tcPr>
          <w:p>
            <w:pPr>
              <w:spacing w:after="0"/>
              <w:rPr>
                <w:sz w:val="14"/>
                <w:szCs w:val="14"/>
                <w:color w:val="auto"/>
              </w:rPr>
            </w:pPr>
          </w:p>
        </w:tc>
        <w:tc>
          <w:tcPr>
            <w:tcW w:w="82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1,979,801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Right-of-use assets obtained in exchange for financing lease liabilities</w:t>
            </w:r>
          </w:p>
        </w:tc>
        <w:tc>
          <w:tcPr>
            <w:tcW w:w="660" w:type="dxa"/>
            <w:vAlign w:val="bottom"/>
            <w:shd w:val="clear" w:color="auto" w:fill="CCEEFF"/>
          </w:tcPr>
          <w:p>
            <w:pPr>
              <w:jc w:val="right"/>
              <w:ind w:right="54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198,512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 Nature of Business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SAB Biotherapeutics, Inc. (“SAB” or the “Corporation”) is a clinical-stage biopharmaceutical company focused on the development and commercialization of a portfolio of products from its proprietary immunotherapy platform to produce fully targeted human polyclonal antibodies, without using human plasma or serum. SAB’s novel DiversitAb™ platform enables the production of large amounts of targeted human polyclonal antibodies, leveraging transchromosomic cattle (Tc Bovine™) that have been genetically designed to produce human antibodies (immunoglobulin G) in response to an antigen. Animal antibodies have been made in rabbits, sheep and horses.</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COVID-19 pandemic continues to evolve, and the extent to which it may impact the Corporation’s business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The Corporation is following, and will continue to follow, recommendations from the United States Centers for Disease Control and Prevention, as well as federal, state, and local governments. To date, the Corporation has not experienced material business disruptions, but it cannot be certain of the future impact of the COVID-19 pandemic on its business and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significant accounting policies applied in preparation of the accompanying consolidated financial statements is set forth below.</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financial statements have been prepared in conformity with accounting principles generally accepted in the United States of America (“U.S. GAAP”) and include all adjustments necessary for the fair presentation of the Corporation’s financial position for the years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accompanying consolidated financial statements include the results of the Corporation and its wholly owned subsidiaries, SAB Capra, LLC and Aurochs, LLC. Intercompany balances and transactions have been eliminated in consolidation.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risks and uncertainties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Corporation’s operations are subject to a number of factors that can affect its operating results and financial condition. Such factors include, but are not limited to, the results of research and development efforts, clinical trial activities of the Corporation’s product candidates, the Corporation’s ability to obtain regulatory approval to market its product candidates, competition from products manufactured and sold or being developed by other companies, and the Corporation’s ability to raise capital.</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Corporation currently has no commercially approved products and there can be no assurance that the Corporation’s research and development will be successfully commercialized. Developing and commercializing a product requires significant time and capital and is subject to regulatory review and approval as well as competition from other biotechnology and pharmaceutical companies. The Corporation operates in an environment of rapid change and is dependent upon the continued services of its employees and obtaining and protecting intellectual property.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Funding from government grants is not guaranteed to cover all costs, and additional funding may be needed to cover operational costs as we move forward to with our efforts to develop a commercially approved product.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liabilities, revenue and expenses and the disclosure of contingent assets and liabilities in the financial statements. The Corporation has used significant estimates in its determination of stock-based compensation assumptions, determination of the fair value of the Corporation’s common stock, determination of the incremental borrowing rate (“IBR”) used in the calculation of the Corporation’s right of use assets and lease liabilities, and the valuation allowance on deferred tax assets. Actual amounts realized may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Cash equivalents include short-term, highly liquid instruments, consisting of money market accounts and short-term investments with original maturities at the date of purchase of 90 days or less.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Accounts receivable are carried at original invoice amount, less an allowance for doubtful accounts. The Corporation estimates an allowance for doubtful accounts for potential credit losses that are expected to be incurred, based on management’s assessment of the collectability of specific accounts, the aging of the accounts receivable, historical information and other currently available evidence. Receivables are written off when deemed uncollectible. To date, no receivables have been written off. The allowance for doubtful accounts was $0 as of December 31,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maintains its cash and cash equivalent balances in the form of business checking accounts and money market accounts, the balances of which, at times, may exceed federally insured limits. Exposure to credit risk is reduced by placing such deposits in high credit quality federally insured financial institutions.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received approximately 96% and 85% of its total revenue through grants from government organizations during the years ended December 31, 2020 and 2019, respectively, and 4% and 12% of its total revenue through a grant from a non-government organization during the years ended December 31, 2020 and 2019,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liabilities and right-of-use assets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 xml:space="preserve">The Corporation is party to certain contractual arrangements for equipment, lab space, and an animal facility, which meet the definition of leases under Financial Accounting Standards Board (“FASB”) Accounting Standards Codification (“ASC”) Topic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842”). In accordance with ASC 842, the Corporation has, as of January 1, 2018 (the date of adoption), recorded right-of-use assets and related lease liabilities for the present value of the lease payments over the lease terms. The Corporation utilized the practical expedient regarding lease and non-lease components and has combined such items into a single combined component. The Corporation’s IBR was used in the calculation of its right of use assets and lease liabilities.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Expenses incurred in connection with research and development activities are expensed as incurred. These include licensing fees to use certain technology in the Corporation’s research and development projects, fees paid to consultants and various entities that perform certain research and testing on behalf of the Corporation, and expenses related to salaries, benefits, and stock-based compensation granted to employees in research and development functions.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2020 and 2019, the Corporation had contracts with multiple contract research organizations (“CRO”) to complete studies as part of research grant agreements. In the case of SAB-185, the CRO has been contracted and paid by the US government. For SAB-176, PPD Development, LP acting as the CRO oversaw the Phase 1 safety study. The terms of that agreement are subject to confidentiality, and the status of the agreement is that it is current, in good standing and approximately 90% of the contract has been paid through June 17, 2021. SAB has also contracted with hVIVO Services Limited to conduct the Phase 2a influenza study on SAB-176. The terms of that agreement are subject to confidentiality, and the status of the agreement is that it is current, in good standing and approximately 35% of the contract has been paid through June 17, 2021.</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Equipment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records equipment at cost less depreciation. Depreciation is calculated using straight-line methods over the following estimated useful lives: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20"/>
                <w:szCs w:val="20"/>
                <w:color w:val="auto"/>
              </w:rPr>
            </w:pPr>
            <w:r>
              <w:rPr>
                <w:rFonts w:ascii="Arial" w:cs="Arial" w:eastAsia="Arial" w:hAnsi="Arial"/>
                <w:sz w:val="14"/>
                <w:szCs w:val="14"/>
                <w:color w:val="auto"/>
              </w:rPr>
              <w:t>Animal facility equipment</w:t>
            </w:r>
          </w:p>
        </w:tc>
        <w:tc>
          <w:tcPr>
            <w:tcW w:w="2700" w:type="dxa"/>
            <w:vAlign w:val="bottom"/>
          </w:tcPr>
          <w:p>
            <w:pPr>
              <w:jc w:val="center"/>
              <w:ind w:left="728"/>
              <w:spacing w:after="0"/>
              <w:rPr>
                <w:sz w:val="20"/>
                <w:szCs w:val="20"/>
                <w:color w:val="auto"/>
              </w:rPr>
            </w:pPr>
            <w:r>
              <w:rPr>
                <w:rFonts w:ascii="Arial" w:cs="Arial" w:eastAsia="Arial" w:hAnsi="Arial"/>
                <w:sz w:val="14"/>
                <w:szCs w:val="14"/>
                <w:color w:val="auto"/>
                <w:w w:val="91"/>
              </w:rPr>
              <w:t>7 years</w:t>
            </w:r>
          </w:p>
        </w:tc>
      </w:tr>
      <w:tr>
        <w:trPr>
          <w:trHeight w:val="172"/>
        </w:trPr>
        <w:tc>
          <w:tcPr>
            <w:tcW w:w="2480" w:type="dxa"/>
            <w:vAlign w:val="bottom"/>
          </w:tcPr>
          <w:p>
            <w:pPr>
              <w:spacing w:after="0"/>
              <w:rPr>
                <w:sz w:val="20"/>
                <w:szCs w:val="20"/>
                <w:color w:val="auto"/>
              </w:rPr>
            </w:pPr>
            <w:r>
              <w:rPr>
                <w:rFonts w:ascii="Arial" w:cs="Arial" w:eastAsia="Arial" w:hAnsi="Arial"/>
                <w:sz w:val="14"/>
                <w:szCs w:val="14"/>
                <w:color w:val="auto"/>
              </w:rPr>
              <w:t>Laboratory equipment</w:t>
            </w:r>
          </w:p>
        </w:tc>
        <w:tc>
          <w:tcPr>
            <w:tcW w:w="2700" w:type="dxa"/>
            <w:vAlign w:val="bottom"/>
          </w:tcPr>
          <w:p>
            <w:pPr>
              <w:jc w:val="center"/>
              <w:ind w:left="728"/>
              <w:spacing w:after="0"/>
              <w:rPr>
                <w:sz w:val="20"/>
                <w:szCs w:val="20"/>
                <w:color w:val="auto"/>
              </w:rPr>
            </w:pPr>
            <w:r>
              <w:rPr>
                <w:rFonts w:ascii="Arial" w:cs="Arial" w:eastAsia="Arial" w:hAnsi="Arial"/>
                <w:sz w:val="14"/>
                <w:szCs w:val="14"/>
                <w:color w:val="auto"/>
                <w:w w:val="91"/>
              </w:rPr>
              <w:t>7 years</w:t>
            </w:r>
          </w:p>
        </w:tc>
      </w:tr>
      <w:tr>
        <w:trPr>
          <w:trHeight w:val="172"/>
        </w:trPr>
        <w:tc>
          <w:tcPr>
            <w:tcW w:w="248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700" w:type="dxa"/>
            <w:vAlign w:val="bottom"/>
          </w:tcPr>
          <w:p>
            <w:pPr>
              <w:jc w:val="center"/>
              <w:ind w:left="728"/>
              <w:spacing w:after="0"/>
              <w:rPr>
                <w:sz w:val="20"/>
                <w:szCs w:val="20"/>
                <w:color w:val="auto"/>
              </w:rPr>
            </w:pPr>
            <w:r>
              <w:rPr>
                <w:rFonts w:ascii="Arial" w:cs="Arial" w:eastAsia="Arial" w:hAnsi="Arial"/>
                <w:sz w:val="14"/>
                <w:szCs w:val="14"/>
                <w:color w:val="auto"/>
                <w:w w:val="92"/>
              </w:rPr>
              <w:t>Shorter of asset life or lease term</w:t>
            </w:r>
          </w:p>
        </w:tc>
      </w:tr>
      <w:tr>
        <w:trPr>
          <w:trHeight w:val="172"/>
        </w:trPr>
        <w:tc>
          <w:tcPr>
            <w:tcW w:w="2480" w:type="dxa"/>
            <w:vAlign w:val="bottom"/>
          </w:tcPr>
          <w:p>
            <w:pPr>
              <w:spacing w:after="0"/>
              <w:rPr>
                <w:sz w:val="20"/>
                <w:szCs w:val="20"/>
                <w:color w:val="auto"/>
              </w:rPr>
            </w:pPr>
            <w:r>
              <w:rPr>
                <w:rFonts w:ascii="Arial" w:cs="Arial" w:eastAsia="Arial" w:hAnsi="Arial"/>
                <w:sz w:val="14"/>
                <w:szCs w:val="14"/>
                <w:color w:val="auto"/>
              </w:rPr>
              <w:t>Office furniture &amp; equipment</w:t>
            </w:r>
          </w:p>
        </w:tc>
        <w:tc>
          <w:tcPr>
            <w:tcW w:w="2700" w:type="dxa"/>
            <w:vAlign w:val="bottom"/>
          </w:tcPr>
          <w:p>
            <w:pPr>
              <w:jc w:val="center"/>
              <w:ind w:left="728"/>
              <w:spacing w:after="0"/>
              <w:rPr>
                <w:sz w:val="20"/>
                <w:szCs w:val="20"/>
                <w:color w:val="auto"/>
              </w:rPr>
            </w:pPr>
            <w:r>
              <w:rPr>
                <w:rFonts w:ascii="Arial" w:cs="Arial" w:eastAsia="Arial" w:hAnsi="Arial"/>
                <w:sz w:val="14"/>
                <w:szCs w:val="14"/>
                <w:color w:val="auto"/>
                <w:w w:val="91"/>
              </w:rPr>
              <w:t>5 years</w:t>
            </w:r>
          </w:p>
        </w:tc>
      </w:tr>
      <w:tr>
        <w:trPr>
          <w:trHeight w:val="181"/>
        </w:trPr>
        <w:tc>
          <w:tcPr>
            <w:tcW w:w="2480" w:type="dxa"/>
            <w:vAlign w:val="bottom"/>
          </w:tcPr>
          <w:p>
            <w:pPr>
              <w:spacing w:after="0"/>
              <w:rPr>
                <w:sz w:val="20"/>
                <w:szCs w:val="20"/>
                <w:color w:val="auto"/>
              </w:rPr>
            </w:pPr>
            <w:r>
              <w:rPr>
                <w:rFonts w:ascii="Arial" w:cs="Arial" w:eastAsia="Arial" w:hAnsi="Arial"/>
                <w:sz w:val="14"/>
                <w:szCs w:val="14"/>
                <w:color w:val="auto"/>
              </w:rPr>
              <w:t>Vehicles</w:t>
            </w:r>
          </w:p>
        </w:tc>
        <w:tc>
          <w:tcPr>
            <w:tcW w:w="2700" w:type="dxa"/>
            <w:vAlign w:val="bottom"/>
          </w:tcPr>
          <w:p>
            <w:pPr>
              <w:jc w:val="center"/>
              <w:ind w:left="728"/>
              <w:spacing w:after="0"/>
              <w:rPr>
                <w:sz w:val="20"/>
                <w:szCs w:val="20"/>
                <w:color w:val="auto"/>
              </w:rPr>
            </w:pPr>
            <w:r>
              <w:rPr>
                <w:rFonts w:ascii="Arial" w:cs="Arial" w:eastAsia="Arial" w:hAnsi="Arial"/>
                <w:sz w:val="14"/>
                <w:szCs w:val="14"/>
                <w:color w:val="auto"/>
                <w:w w:val="91"/>
              </w:rPr>
              <w:t>5 years</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Repairs and maintenance expenses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Corporation reviews the recoverability of long-lived assets, including the related useful lives, whenever events or changes in circumstances indicate that the carrying amount of a long-lived asset may not be recoverable. If necessary, the Corporation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Corporation believes that long-lived assets are recoverable, and no impairment was deemed necessary, during the years ended December 31, 2020 and 2019.</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FASB ASC Topic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prescribes accounting and reporting standards for all share-based payment transactions in which employee and non-employee services are acquired. The Corporation recognizes compensation cost relating to stock-based payment transactions using a fair-value measurement method, which requires all stock-based payments to employees, directors, and non-employee consultants, including grants of stock options, to be recognized in operating results as compensation expense based on fair value over the requisite service period of the awards. The Corporation determines the fair value of stock-based awards using the Black-Scholes option-pricing model, which uses both historical and current market data to estimate fair value. The method incorporates various assumptions, such as the value of the underlying common stock, the risk-free interest rate, expected volatility, expected dividend yield and expected life of the options. For awards with performance-based vesting criteria, the Corporation estimates the probability of achievement of the performance criteria and recognizes compensation expense related to those awards expected to vest. No awards may have a term in excess of ten years. Forfeitures are recorded when they occur.</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8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Deferred income taxes reflect future tax effects of temporary differences between the tax and financial reporting basis of the Corporation’s assets and liabilities measured using enacted tax laws and statutory tax rates applicable to the periods when the temporary differences will affect taxable income. When necessary, deferred tax assets are reduced by a valuation allowance, to reflect realizable value, and all deferred tax balances are reported as long-term on the consolidated balance sheet. Accruals are maintained for uncertain tax positions, as necessary.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uses a recognition threshold and measurement attribute for the financial statement recognition and measurement of a tax position taken, or expected to be taken, in a tax return. The Corporation has elected to treat interest and penalties related to income taxes, to the extent they arise, as a component of income taxes.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Corporation’s revenue is primarily generated through grants from government and other (non-government) organizations.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Grant revenue is recognized during the period that the research and development services occur, as qualifying expenses are incurred or conditions of the grants are met. The Corporation concluded that payments received under these grants represent conditional, nonreciprocal contributions, as described in ASC 958, </w:t>
      </w:r>
      <w:r>
        <w:rPr>
          <w:rFonts w:ascii="Arial" w:cs="Arial" w:eastAsia="Arial" w:hAnsi="Arial"/>
          <w:sz w:val="14"/>
          <w:szCs w:val="14"/>
          <w:i w:val="1"/>
          <w:iCs w:val="1"/>
          <w:color w:val="auto"/>
        </w:rPr>
        <w:t>Not-for-Profit Entities</w:t>
      </w:r>
      <w:r>
        <w:rPr>
          <w:rFonts w:ascii="Arial" w:cs="Arial" w:eastAsia="Arial" w:hAnsi="Arial"/>
          <w:sz w:val="14"/>
          <w:szCs w:val="14"/>
          <w:color w:val="auto"/>
        </w:rPr>
        <w:t xml:space="preserve">, and that the grants are not within the scope of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as the organizations providing the grants do not meet the definition of a customer. Expenses for grants are tracked by using a project code specific to the grant, and the employees also track hours worked by using the project code.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had no items of comprehensive income (loss) other than its net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From time to time, the Corporation is involved in legal proceedings, investigations and claims generally incidental to its normal business activities. In accordance with U.S. GAAP, the Corporation accrues for loss contingencies when it is probable that a liability has been incurred and the amount of the loss can be reasonably estimated. Legal costs in connection with loss contingencies are expensed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Earnings per share</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In accordance with ASC 260, </w:t>
      </w:r>
      <w:r>
        <w:rPr>
          <w:rFonts w:ascii="Arial" w:cs="Arial" w:eastAsia="Arial" w:hAnsi="Arial"/>
          <w:sz w:val="14"/>
          <w:szCs w:val="14"/>
          <w:i w:val="1"/>
          <w:iCs w:val="1"/>
          <w:color w:val="auto"/>
        </w:rPr>
        <w:t>Earnings per Share</w:t>
      </w:r>
      <w:r>
        <w:rPr>
          <w:rFonts w:ascii="Arial" w:cs="Arial" w:eastAsia="Arial" w:hAnsi="Arial"/>
          <w:sz w:val="14"/>
          <w:szCs w:val="14"/>
          <w:color w:val="auto"/>
        </w:rPr>
        <w:t xml:space="preserve"> (“ASC 260”), basic net income (loss) per share attributable to common stockholders is computed by dividing net income (loss) attributable to common stockholders by the weighted-average number of common stock outstanding during the period. Diluted net income (loss) per share attributable to common stockholders is computed by dividing the diluted net income (loss) attributable to common stockholders by the weighted-average number of common stock outstanding for the period including potential dilutive common shares such as stock options.</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2019, the Corporation issued shares of preferred stock, which it determined qualified as participating securities, as defined in ASC 260. Under ASC 260, securities are considered participating securities if the securities may participate in undistributed earnings with common stock, whether that participation is conditioned upon the occurrence of a specified event or not. In accordance with ASC 260, a company is required to use the two-class method when computing net 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share in the earnings as if all income (loss) for the period had been distributed. Participating securities are included in the computation of basic net income (loss) per share using the two-class method. Under the two-class method, basic net income (loss) per share is computed by dividing net income (loss) attributable to the shareholders of the Corporation attributable to common stockholders by the weighted-average common shares outstanding during the period. Diluted net income (loss) per share for the Corporation’s common stock is computed using the more dilutive of the two-class method or the if-converted method.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In accordance with 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the Corporation’s business activities are organized into one reportable segment, as only the Corporation’s operating results in their entirety are regularly reviewed by the Corporation’s chief operating decision maker to make decisions about resources to be allocated and to assess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that would be used to measure fair value into one of three levels: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Unadjusted quoted prices in active markets for identical assets or liabilities.</w:t>
      </w:r>
    </w:p>
    <w:p>
      <w:pPr>
        <w:spacing w:after="0" w:line="182"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 Unobservable inputs that reflect the reporting entity’s own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and 2019, the Corporation does not have any assets and liabilities that are recorded at fair value on a 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believes that the carrying amounts of its cash and cash equivalents, accounts receivable, and debt approximate their fair values due to their near-term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Corporation is required to periodically estimate the fair value of its common stock with the assistance of an independent third-party valuation expert when issuing stock options and computing its estimated stock-based compensation expense. The assumptions underlying these valuations represented management’s best estimates, which involved inherent uncertainties and the application of significant levels of management judgment.</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order to determine the fair value of its common stock, the Corporation considered, among other items, previous transactions involving the sale of the Corporation’s securities, the Corporation’s business, financial condition and results of operations, economic and industry trends, the market performance of comparable publicly traded companies, and the lack of marketability of the Corporation’s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prior period amount of $3.4 million related to grant revenue was reclassified from other income to grant revenue on the consolidated statements of operations, as the services performed under the grants were consistent with the Corporation’s ongoing major or central operations during the year ended December 31, 2020, and the reclassification conforms the prior period presentation to the current period presentation. The reclassification had no effect on the prior period net loss or total stockholder’s deficit.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ind w:right="9500" w:firstLine="6"/>
        <w:spacing w:after="0" w:line="597" w:lineRule="auto"/>
        <w:tabs>
          <w:tab w:leader="none" w:pos="202" w:val="left"/>
        </w:tabs>
        <w:numPr>
          <w:ilvl w:val="0"/>
          <w:numId w:val="7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New accounting standards Recently-adopted standards</w:t>
      </w:r>
    </w:p>
    <w:p>
      <w:pPr>
        <w:jc w:val="both"/>
        <w:spacing w:after="0" w:line="263" w:lineRule="auto"/>
        <w:rPr>
          <w:sz w:val="20"/>
          <w:szCs w:val="20"/>
          <w:color w:val="auto"/>
        </w:rPr>
      </w:pPr>
      <w:r>
        <w:rPr>
          <w:rFonts w:ascii="Arial" w:cs="Arial" w:eastAsia="Arial" w:hAnsi="Arial"/>
          <w:sz w:val="14"/>
          <w:szCs w:val="14"/>
          <w:color w:val="auto"/>
        </w:rPr>
        <w:t xml:space="preserve">In July 2019, the FASB issued Accounting Standards Update (“ASU”) 2019-07, </w:t>
      </w:r>
      <w:r>
        <w:rPr>
          <w:rFonts w:ascii="Arial" w:cs="Arial" w:eastAsia="Arial" w:hAnsi="Arial"/>
          <w:sz w:val="14"/>
          <w:szCs w:val="14"/>
          <w:i w:val="1"/>
          <w:iCs w:val="1"/>
          <w:color w:val="auto"/>
        </w:rPr>
        <w:t>Codification Updates to SEC Sections—Amendments to SEC Paragraphs Pursuant to SEC Final Rule Releases No.</w:t>
      </w:r>
      <w:r>
        <w:rPr>
          <w:rFonts w:ascii="Arial" w:cs="Arial" w:eastAsia="Arial" w:hAnsi="Arial"/>
          <w:sz w:val="14"/>
          <w:szCs w:val="14"/>
          <w:color w:val="auto"/>
        </w:rPr>
        <w:t xml:space="preserve"> </w:t>
      </w:r>
      <w:r>
        <w:rPr>
          <w:rFonts w:ascii="Arial" w:cs="Arial" w:eastAsia="Arial" w:hAnsi="Arial"/>
          <w:sz w:val="14"/>
          <w:szCs w:val="14"/>
          <w:i w:val="1"/>
          <w:iCs w:val="1"/>
          <w:color w:val="auto"/>
        </w:rPr>
        <w:t>33-10532, Disclosure Update and Simplification, and Nos. 33-10231 and 33-10442, Investment Company Reporting Modernization, and Miscellaneous Updates (SEC Update)</w:t>
      </w:r>
      <w:r>
        <w:rPr>
          <w:rFonts w:ascii="Arial" w:cs="Arial" w:eastAsia="Arial" w:hAnsi="Arial"/>
          <w:sz w:val="14"/>
          <w:szCs w:val="14"/>
          <w:color w:val="auto"/>
        </w:rPr>
        <w:t>, which clarifies or</w:t>
      </w:r>
      <w:r>
        <w:rPr>
          <w:rFonts w:ascii="Arial" w:cs="Arial" w:eastAsia="Arial" w:hAnsi="Arial"/>
          <w:sz w:val="14"/>
          <w:szCs w:val="14"/>
          <w:i w:val="1"/>
          <w:iCs w:val="1"/>
          <w:color w:val="auto"/>
        </w:rPr>
        <w:t xml:space="preserve"> </w:t>
      </w:r>
      <w:r>
        <w:rPr>
          <w:rFonts w:ascii="Arial" w:cs="Arial" w:eastAsia="Arial" w:hAnsi="Arial"/>
          <w:sz w:val="14"/>
          <w:szCs w:val="14"/>
          <w:color w:val="auto"/>
        </w:rPr>
        <w:t>improves a variety of ASC disclosure and presentation requirements by aligning them with the regulations of the United States Securities and Exchange Commission (“SEC”), thereby eliminating redundancies and making the codification easier to apply. The guidance was effective upon issuance. The adoption did not have a material impact on the Corporation’s consolidated financial statements.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Framework—Changes to the Disclosure Requirements for Fair Value Measurement</w:t>
      </w:r>
      <w:r>
        <w:rPr>
          <w:rFonts w:ascii="Arial" w:cs="Arial" w:eastAsia="Arial" w:hAnsi="Arial"/>
          <w:sz w:val="14"/>
          <w:szCs w:val="14"/>
          <w:color w:val="auto"/>
        </w:rPr>
        <w:t>, which modifies the disclosure requirements on fair value measurements by removing, modifying, or adding certain disclosures. The guidance was effective for fiscal years, and interim periods within those fiscal years, beginning after December 15, 2019. Early adoption was permitted. The Corporation adopted the guidance as of January 1, 2020. The adoption did not have a material impact on the Corporation’s consolidated financial statements.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In June 2018, the FASB issued ASU 2018-08, </w:t>
      </w:r>
      <w:r>
        <w:rPr>
          <w:rFonts w:ascii="Arial" w:cs="Arial" w:eastAsia="Arial" w:hAnsi="Arial"/>
          <w:sz w:val="13"/>
          <w:szCs w:val="13"/>
          <w:i w:val="1"/>
          <w:iCs w:val="1"/>
          <w:color w:val="auto"/>
        </w:rPr>
        <w:t>Not-for-Profit Entities (Topic 958): Clarifying the Scope and the Accounting Guidance for Contributions Received and Contributions Made</w:t>
      </w:r>
      <w:r>
        <w:rPr>
          <w:rFonts w:ascii="Arial" w:cs="Arial" w:eastAsia="Arial" w:hAnsi="Arial"/>
          <w:sz w:val="13"/>
          <w:szCs w:val="13"/>
          <w:color w:val="auto"/>
        </w:rPr>
        <w:t>, which clarifies and improves the scope and the accounting guidance for contributions received and contributions made. The guidance should assist entities in: (1) evaluating whether transactions should be accounted for as contributions (nonreciprocal transactions) within the scope of ASC 958 or as exchange (reciprocal) transactions subject to other guidance; and (2) determining whether a contribution is conditional. Distinguishing between contributions and exchange transactions determines which guidance is applied. For resource recipients, ASU 2018-08 was effective for annual periods beginning after December 15, 2018, and interim periods within annual periods beginning after December 15, 2019. Early adoption was permitted. The Corporation adopted the guidance as of January 1, 2019. The adoption did not have a material impact on the Corporation’s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In June 2018, the FASB issued ASU 2018-07, </w:t>
      </w:r>
      <w:r>
        <w:rPr>
          <w:rFonts w:ascii="Arial" w:cs="Arial" w:eastAsia="Arial" w:hAnsi="Arial"/>
          <w:sz w:val="14"/>
          <w:szCs w:val="14"/>
          <w:i w:val="1"/>
          <w:iCs w:val="1"/>
          <w:color w:val="auto"/>
        </w:rPr>
        <w:t>Compensation—Stock Compensation (Topic 718): Improvements to Nonemployee Share-Based Payment Accounting</w:t>
      </w:r>
      <w:r>
        <w:rPr>
          <w:rFonts w:ascii="Arial" w:cs="Arial" w:eastAsia="Arial" w:hAnsi="Arial"/>
          <w:sz w:val="14"/>
          <w:szCs w:val="14"/>
          <w:color w:val="auto"/>
        </w:rPr>
        <w:t>, which expands the scope of accounting for share-based payment arrangements to include share-based payment transactions for acquiring goods and services from nonemployees. The guidance was effective for fiscal years, and interim periods within those fiscal years, beginning after December 15, 2018. Early adoption was permitted. The Corporation adopted the guidance as of January 1, 2019, on a prospective basis. The adoption did not have a material impact on the Corporation’s consolidated financial statements.</w:t>
      </w:r>
    </w:p>
    <w:p>
      <w:pPr>
        <w:spacing w:after="0" w:line="145"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Instruments—Credit Losses (Topic 326): Measurement of Credit Losses on Financial Instruments</w:t>
      </w:r>
      <w:r>
        <w:rPr>
          <w:rFonts w:ascii="Arial" w:cs="Arial" w:eastAsia="Arial" w:hAnsi="Arial"/>
          <w:sz w:val="13"/>
          <w:szCs w:val="13"/>
          <w:color w:val="auto"/>
        </w:rPr>
        <w:t xml:space="preserve">, which requires the measurement and recognition of expected credit losses for financial assets held at amortized cost and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w:t>
      </w:r>
      <w:r>
        <w:rPr>
          <w:rFonts w:ascii="Arial" w:cs="Arial" w:eastAsia="Arial" w:hAnsi="Arial"/>
          <w:sz w:val="13"/>
          <w:szCs w:val="13"/>
          <w:i w:val="1"/>
          <w:iCs w:val="1"/>
          <w:color w:val="auto"/>
        </w:rPr>
        <w:t>Codification Improvements to Topic</w:t>
      </w:r>
      <w:r>
        <w:rPr>
          <w:rFonts w:ascii="Arial" w:cs="Arial" w:eastAsia="Arial" w:hAnsi="Arial"/>
          <w:sz w:val="13"/>
          <w:szCs w:val="13"/>
          <w:color w:val="auto"/>
        </w:rPr>
        <w:t xml:space="preserve"> </w:t>
      </w:r>
      <w:r>
        <w:rPr>
          <w:rFonts w:ascii="Arial" w:cs="Arial" w:eastAsia="Arial" w:hAnsi="Arial"/>
          <w:sz w:val="13"/>
          <w:szCs w:val="13"/>
          <w:i w:val="1"/>
          <w:iCs w:val="1"/>
          <w:color w:val="auto"/>
        </w:rPr>
        <w:t>326, Financial Instruments—Credit Losses</w:t>
      </w:r>
      <w:r>
        <w:rPr>
          <w:rFonts w:ascii="Arial" w:cs="Arial" w:eastAsia="Arial" w:hAnsi="Arial"/>
          <w:sz w:val="13"/>
          <w:szCs w:val="13"/>
          <w:color w:val="auto"/>
        </w:rPr>
        <w:t>, which narrowed the scope and changed the effective date for non-public entities for ASU 2016-13. The FASB subsequently issued supplemental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guidance, including ASU No. 2019-05, </w:t>
      </w:r>
      <w:r>
        <w:rPr>
          <w:rFonts w:ascii="Arial" w:cs="Arial" w:eastAsia="Arial" w:hAnsi="Arial"/>
          <w:sz w:val="13"/>
          <w:szCs w:val="13"/>
          <w:i w:val="1"/>
          <w:iCs w:val="1"/>
          <w:color w:val="auto"/>
        </w:rPr>
        <w:t>Financial Instruments—Credit Losses (Topic 326): Targeted Transition Relief</w:t>
      </w:r>
      <w:r>
        <w:rPr>
          <w:rFonts w:ascii="Arial" w:cs="Arial" w:eastAsia="Arial" w:hAnsi="Arial"/>
          <w:sz w:val="13"/>
          <w:szCs w:val="13"/>
          <w:color w:val="auto"/>
        </w:rPr>
        <w:t xml:space="preserve"> (‘‘ASU 2019-05’’). ASU 2019-05 provides an option to irrevocably elect the fair value option for certain financial assets previously measured at amortized cost. For public entities that are SEC filers, excluding entities eligible to be smaller reporting companies, ASU 2016-13 was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was permitted. The Corporation adopted the guidance as of January 1, 2020. The adoption did not have a material impact on the Corporation’s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Standards issued not yet adopted</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 Equity (Subtopic 815-40): Accounting for Convertible Instruments and Contracts in an Entity’s Own Equity</w:t>
      </w:r>
      <w:r>
        <w:rPr>
          <w:rFonts w:ascii="Arial" w:cs="Arial" w:eastAsia="Arial" w:hAnsi="Arial"/>
          <w:sz w:val="14"/>
          <w:szCs w:val="14"/>
          <w:color w:val="auto"/>
        </w:rPr>
        <w:t>, which simplifies the accounting for convertible instruments by removing major separation models required</w:t>
      </w:r>
      <w:r>
        <w:rPr>
          <w:rFonts w:ascii="Arial" w:cs="Arial" w:eastAsia="Arial" w:hAnsi="Arial"/>
          <w:sz w:val="14"/>
          <w:szCs w:val="14"/>
          <w:i w:val="1"/>
          <w:iCs w:val="1"/>
          <w:color w:val="auto"/>
        </w:rPr>
        <w:t xml:space="preserve"> </w:t>
      </w:r>
      <w:r>
        <w:rPr>
          <w:rFonts w:ascii="Arial" w:cs="Arial" w:eastAsia="Arial" w:hAnsi="Arial"/>
          <w:sz w:val="14"/>
          <w:szCs w:val="14"/>
          <w:color w:val="auto"/>
        </w:rPr>
        <w:t>under current GAAP. The guidance removes certain settlement conditions that are required for equity contracts to qualify for the derivative scope exception, which will permit more equity contracts to qualify for such exception and simplifies the diluted earnings per share calculation in certain areas. The guidance is effective for fiscal years beginning after December 15, 2021, including interim periods within those fiscal years. Early adoption is permitted in annual reporting periods ending after December 15, 2020. The Corporation is currently evaluating its adoption of the guidance and the impact that the guidance may have on its consolidated financial statements. The Corporation believes that the adoption of the guidance will not have a material impact on its consolidated financial statements.</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which simplifies the accounting for income taxes by removing certain exceptions to the general principles in ASC Topic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(“ASC 740”) and by clarifying and amending existing ASC 740 guidance. The guidance is effective for fiscal years, and interim periods within those years, beginning after December 15, 2020. Early adoption is permitted. The Corporation is currently evaluating its adoption of the guidance and the impact that the guidance may have on its consolidated financial statements. The Corporation believes that the adoption of the guidance will not have a material impact on its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 Revenue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years ended December 31, 2020 and 2019, the Corporation worked on the following grants: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grants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government grants was approximately $52,800,000 and $2,900,000 respectively, for the years ended December 31, 2020 and 2019.</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National Institute of Health – National Institute of Allergy and Infectious Disease (“NIH-NIAID”) (Federal Award #1R44AI117976-01A1) – this grant was for $1.4 million and started in September 2019 through August 2021. For 2020 and 2019, there was approximately $228,000 and $343,000, respectively, in grant income recognized from this grant. Approximately $850,000 in funding remains for this grant for 2021.</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NIH-NIAID (Federal Award #1R41AI131823-02) – this grant was for approximately $1.5 million and started in April 2019 through March 2021. For 2020 and 2019, approximately $99,000 and $97,000 respectively, in grant income was recognized from this grant. Approximately $1.1 million in funding remains for this grant for 2021.</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NIH-NIAID through Geneva Foundation (Federal Award #1R01AI132313-01, Subaward #S-10511-01) – this grant was for approximately $2.7 million and started in August 2017 through July 2021. For 2020 and 2019, there was approximately $351,000 and $261,000, respectively, in grant income recognized from this grant. Approximately $1.6 million in funding remains for this grant for 2021.</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Department of Defense, Joint Program Executive Office for Chemical, Biological, Radiological and Nuclear Defense Enabling Biotechnologies (“JPEO”) through Advanced Technology International – this grant was for a potential of $25 million, awarded in stages starting in August 2019 and with potential stages running through February 2023. Additional contract modifications were added to this contract in 2020 for work on a COVID therapeutic, bringing the contract total to $143 million. For 2020 and 2019, approximately $52.1 million and $2.2 million, respectively, in grant income recognized from this grant. Approximately $88.8 million in funding remains for this grant for 2021.</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The grants for the JPEO contract are cost reimbursement agreements, with reimbursement of our direct research and development expense (labor and consumables) with an overhead charge (based on actual, reviewed quarterly) and a fixed fee (9%). However, a portion of the funding ($12 million in 2020) from this contract was for capacity building, including funding for equipment and facilities. A majority of this was for a 200L purification suite and two production barns, which are in locations that are currently leased by the corporation. While the government and SAB have agreed to negotiate in good faith to afford government access to this equipment, the corporation is allowed to use this equipment for any project. As a majority of the value is in leasehold improvements (and therefore cannot be returned to the government), the corporation is treating the assets as company owned, and recognized the proceeds from the reimbursement as revenue. Therefore, revenue significantly exceeded research and development, as there is no research and development cost to offset this $12 million in revenue.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grants (non-government)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total revenue for other grants (non-government) was approximately $2.4 million and $500,000 respectively, for the years ended December 31, 2020 and 2019.</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CSL Behring – there were three contracts for a combined $2.4 million that were started and completed in 2020. These contracts were related to research and development for a COVID-19 therapeutic ($2 million) and two other targets ($400,000).</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Battelle Memorial Institute – this contract was for approximately $2.0 million, starting in April 2018 through January 2019. For 2019, there was $400,000 in income recognized from this contract, and the work for this contract was completed as of December 31, 2019.</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Henry Jackson Foundation – this contract was for $250,000, starting in September 2018 through May 31, 2019. For 2019, there was $51,000 in income recognized from this contract, and the work for this contract was completed as of December 31, 2019.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allocation of net income attributable to the Corporation’s shareholders for the year ended December 31, 2020 under the two-class method: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the Corporation’s shareholders</w:t>
            </w:r>
          </w:p>
        </w:tc>
        <w:tc>
          <w:tcPr>
            <w:tcW w:w="2260" w:type="dxa"/>
            <w:vAlign w:val="bottom"/>
            <w:gridSpan w:val="2"/>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20,117,773</w:t>
            </w:r>
          </w:p>
        </w:tc>
      </w:tr>
      <w:tr>
        <w:trPr>
          <w:trHeight w:val="173"/>
        </w:trPr>
        <w:tc>
          <w:tcPr>
            <w:tcW w:w="6640" w:type="dxa"/>
            <w:vAlign w:val="bottom"/>
          </w:tcPr>
          <w:p>
            <w:pPr>
              <w:spacing w:after="0"/>
              <w:rPr>
                <w:sz w:val="20"/>
                <w:szCs w:val="20"/>
                <w:color w:val="auto"/>
              </w:rPr>
            </w:pPr>
            <w:r>
              <w:rPr>
                <w:rFonts w:ascii="Arial" w:cs="Arial" w:eastAsia="Arial" w:hAnsi="Arial"/>
                <w:sz w:val="14"/>
                <w:szCs w:val="14"/>
                <w:color w:val="auto"/>
              </w:rPr>
              <w:t>Net income attributable to the Corporation’s shareholders applicable to preferred stock</w:t>
            </w:r>
          </w:p>
        </w:tc>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7,134,840</w:t>
            </w:r>
          </w:p>
        </w:tc>
      </w:tr>
      <w:tr>
        <w:trPr>
          <w:trHeight w:val="172"/>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attributable to the Corporation’s shareholders applicable to common stock</w:t>
            </w:r>
          </w:p>
        </w:tc>
        <w:tc>
          <w:tcPr>
            <w:tcW w:w="16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12,982,933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reconciles the weighted-average common shares outstanding used in the calculation of basic earnings per share (“EPS”) to the weighted-average common shares outstanding used in the calculation of diluted EPS for the year ended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Determination of shares: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35,216,000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conversion of preferred stock</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19,353,143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Dilutive effect of equity awards</w:t>
            </w: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3,482,471</w:t>
            </w:r>
          </w:p>
        </w:tc>
        <w:tc>
          <w:tcPr>
            <w:tcW w:w="100" w:type="dxa"/>
            <w:vAlign w:val="bottom"/>
            <w:tcBorders>
              <w:bottom w:val="single" w:sz="8" w:color="CCEEFF"/>
            </w:tcBorders>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common shares outstanding - diluted</w:t>
            </w: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w w:val="88"/>
              </w:rPr>
              <w:t>58,051,614</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340" w:type="dxa"/>
            <w:vAlign w:val="bottom"/>
            <w:gridSpan w:val="4"/>
          </w:tcPr>
          <w:p>
            <w:pPr>
              <w:spacing w:after="0"/>
              <w:rPr>
                <w:sz w:val="20"/>
                <w:szCs w:val="20"/>
                <w:color w:val="auto"/>
              </w:rPr>
            </w:pPr>
            <w:r>
              <w:rPr>
                <w:rFonts w:ascii="Arial" w:cs="Arial" w:eastAsia="Arial" w:hAnsi="Arial"/>
                <w:sz w:val="14"/>
                <w:szCs w:val="14"/>
                <w:color w:val="auto"/>
                <w:w w:val="92"/>
              </w:rPr>
              <w:t>The following table presents the calculation of basic and diluted EPS for the Corporation’s common stock for the year ended December 31, 2020: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832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Calculation of basic EPS attributable to the Corporation’s shareholders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gridSpan w:val="3"/>
          </w:tcPr>
          <w:p>
            <w:pPr>
              <w:spacing w:after="0"/>
              <w:rPr>
                <w:sz w:val="20"/>
                <w:szCs w:val="20"/>
                <w:color w:val="auto"/>
              </w:rPr>
            </w:pPr>
            <w:r>
              <w:rPr>
                <w:rFonts w:ascii="Arial" w:cs="Arial" w:eastAsia="Arial" w:hAnsi="Arial"/>
                <w:sz w:val="14"/>
                <w:szCs w:val="14"/>
                <w:color w:val="auto"/>
              </w:rPr>
              <w:t>Net income attributable to the Corporation’s shareholders applicable to common stock</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color w:val="auto"/>
              </w:rPr>
              <w:t>12,982,933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35,216,000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gridSpan w:val="3"/>
          </w:tcPr>
          <w:p>
            <w:pPr>
              <w:spacing w:after="0"/>
              <w:rPr>
                <w:sz w:val="20"/>
                <w:szCs w:val="20"/>
                <w:color w:val="auto"/>
              </w:rPr>
            </w:pPr>
            <w:r>
              <w:rPr>
                <w:rFonts w:ascii="Arial" w:cs="Arial" w:eastAsia="Arial" w:hAnsi="Arial"/>
                <w:sz w:val="14"/>
                <w:szCs w:val="14"/>
                <w:color w:val="auto"/>
              </w:rPr>
              <w:t>Basic EPS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32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Calculation of diluted EPS attributable to the Corporation’s shareholders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gridSpan w:val="3"/>
          </w:tcPr>
          <w:p>
            <w:pPr>
              <w:spacing w:after="0"/>
              <w:rPr>
                <w:sz w:val="20"/>
                <w:szCs w:val="20"/>
                <w:color w:val="auto"/>
              </w:rPr>
            </w:pPr>
            <w:r>
              <w:rPr>
                <w:rFonts w:ascii="Arial" w:cs="Arial" w:eastAsia="Arial" w:hAnsi="Arial"/>
                <w:sz w:val="14"/>
                <w:szCs w:val="14"/>
                <w:color w:val="auto"/>
              </w:rPr>
              <w:t>Net income attributable to the Corporation’s shareholders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color w:val="auto"/>
              </w:rPr>
              <w:t>20,117,773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Weighted-average common shares outstanding - diluted</w:t>
            </w:r>
          </w:p>
        </w:tc>
        <w:tc>
          <w:tcPr>
            <w:tcW w:w="26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58,051,614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gridSpan w:val="3"/>
          </w:tcPr>
          <w:p>
            <w:pPr>
              <w:spacing w:after="0"/>
              <w:rPr>
                <w:sz w:val="20"/>
                <w:szCs w:val="20"/>
                <w:color w:val="auto"/>
              </w:rPr>
            </w:pPr>
            <w:r>
              <w:rPr>
                <w:rFonts w:ascii="Arial" w:cs="Arial" w:eastAsia="Arial" w:hAnsi="Arial"/>
                <w:sz w:val="14"/>
                <w:szCs w:val="14"/>
                <w:color w:val="auto"/>
              </w:rPr>
              <w:t>Diluted EPS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Since the Corporation reported a net loss for 2019, it was required by ASC 260 to use basic weighted-average common shares outstanding when calculating diluted net loss per share for the year ended December 31, 2019, as the potential common shares are antidilutive. In addition, since the Corporation reported a loss from operations for the year ended December 31, 2019, the shares of preferred stock were not deemed to be participating securities for the year ended December 31, 2019, pursuant to ASC 260. The Corporation’s participating securities contractually entitle the holders of such shares to participate in dividends but do not contractually require the holders of such shares to participate in losses of the Corporation.</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2019, the Corporation issued shares of preferred stock, which it determined qualified as participating securities, as defined in ASC 260. Under ASC 260, securities are considered participating securities if the securities may participate in undistributed earnings with common stock, whether that participation is conditioned upon the occurrence of a specified event or not. In accordance with ASC 260, a company is required to use the two-class method when computing net income (loss) per share when a company has securities that qualify as participating securities. The two-class method is an earnings allocation formula that determines net income (loss) per share for each class of common stock and participating security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share in the earnings as if all income (loss) for the period had been distributed. Participating securities are included in the computation of basic net income (loss) per share using the two-class method. Under the two-class method, basic net income (loss) per share is computed by dividing net income (loss) attributable to the shareholders of the Corporation attributable to common stockholders by the weighted-average common shares outstanding during the period. Diluted net income (loss) per share for the Corporation’s common stock is computed using the more dilutive of the two-class method or the if-converted method.</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Options to purchase 6,748,250 shares and 17,750,882 shares of preferred stock were outstanding during the year ended December 31, 2019 but were not included in the computation of diluted net loss per share because their impact was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the Corporation’s shareholders</w:t>
            </w:r>
          </w:p>
        </w:tc>
        <w:tc>
          <w:tcPr>
            <w:tcW w:w="3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8,986,289</w:t>
            </w:r>
          </w:p>
        </w:tc>
        <w:tc>
          <w:tcPr>
            <w:tcW w:w="174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Weighted-average common shares outstanding - basic and diluted</w:t>
            </w:r>
          </w:p>
        </w:tc>
        <w:tc>
          <w:tcPr>
            <w:tcW w:w="35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35,216,000</w:t>
            </w:r>
          </w:p>
        </w:tc>
        <w:tc>
          <w:tcPr>
            <w:tcW w:w="174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Loss per common share - basic and diluted</w:t>
            </w:r>
          </w:p>
        </w:tc>
        <w:tc>
          <w:tcPr>
            <w:tcW w:w="3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740" w:type="dxa"/>
            <w:vAlign w:val="bottom"/>
          </w:tcPr>
          <w:p>
            <w:pPr>
              <w:spacing w:after="0"/>
              <w:rPr>
                <w:sz w:val="14"/>
                <w:szCs w:val="14"/>
                <w:color w:val="auto"/>
              </w:rPr>
            </w:pPr>
          </w:p>
        </w:tc>
      </w:tr>
      <w:tr>
        <w:trPr>
          <w:trHeight w:val="345"/>
        </w:trPr>
        <w:tc>
          <w:tcPr>
            <w:tcW w:w="5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48"/>
              <w:spacing w:after="0"/>
              <w:rPr>
                <w:sz w:val="20"/>
                <w:szCs w:val="20"/>
                <w:color w:val="auto"/>
              </w:rPr>
            </w:pPr>
            <w:r>
              <w:rPr>
                <w:rFonts w:ascii="Arial" w:cs="Arial" w:eastAsia="Arial" w:hAnsi="Arial"/>
                <w:sz w:val="14"/>
                <w:szCs w:val="14"/>
                <w:color w:val="auto"/>
              </w:rPr>
              <w:t>F-58</w:t>
            </w: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4" w:right="3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(6) Equipment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3"/>
        </w:trPr>
        <w:tc>
          <w:tcPr>
            <w:tcW w:w="6300" w:type="dxa"/>
            <w:vAlign w:val="bottom"/>
            <w:gridSpan w:val="2"/>
          </w:tcPr>
          <w:p>
            <w:pPr>
              <w:spacing w:after="0"/>
              <w:rPr>
                <w:sz w:val="20"/>
                <w:szCs w:val="20"/>
                <w:color w:val="auto"/>
              </w:rPr>
            </w:pPr>
            <w:r>
              <w:rPr>
                <w:rFonts w:ascii="Arial" w:cs="Arial" w:eastAsia="Arial" w:hAnsi="Arial"/>
                <w:sz w:val="14"/>
                <w:szCs w:val="14"/>
                <w:color w:val="auto"/>
              </w:rPr>
              <w:t>As of December 31, 2020 and 2019, the Corporation’s equipment was as follows: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520" w:type="dxa"/>
            <w:vAlign w:val="bottom"/>
          </w:tcPr>
          <w:p>
            <w:pPr>
              <w:spacing w:after="0"/>
              <w:rPr>
                <w:sz w:val="24"/>
                <w:szCs w:val="24"/>
                <w:color w:val="auto"/>
              </w:rPr>
            </w:pPr>
          </w:p>
        </w:tc>
        <w:tc>
          <w:tcPr>
            <w:tcW w:w="5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r>
      <w:tr>
        <w:trPr>
          <w:trHeight w:val="172"/>
        </w:trPr>
        <w:tc>
          <w:tcPr>
            <w:tcW w:w="5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5,205,346</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1,740,088</w:t>
            </w:r>
          </w:p>
        </w:tc>
        <w:tc>
          <w:tcPr>
            <w:tcW w:w="100" w:type="dxa"/>
            <w:vAlign w:val="bottom"/>
            <w:shd w:val="clear" w:color="auto" w:fill="CCEEFF"/>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Animal facility</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3,371,125</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1,459,459</w:t>
            </w:r>
          </w:p>
        </w:tc>
        <w:tc>
          <w:tcPr>
            <w:tcW w:w="10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Animal facility equipment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1,003,629</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540,000</w:t>
            </w:r>
          </w:p>
        </w:tc>
      </w:tr>
      <w:tr>
        <w:trPr>
          <w:trHeight w:val="172"/>
        </w:trPr>
        <w:tc>
          <w:tcPr>
            <w:tcW w:w="5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Construction-in-progress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6,729,673</w:t>
            </w:r>
          </w:p>
        </w:tc>
        <w:tc>
          <w:tcPr>
            <w:tcW w:w="3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83,966</w:t>
            </w:r>
          </w:p>
        </w:tc>
      </w:tr>
      <w:tr>
        <w:trPr>
          <w:trHeight w:val="172"/>
        </w:trPr>
        <w:tc>
          <w:tcPr>
            <w:tcW w:w="5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185,971</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34,285</w:t>
            </w:r>
          </w:p>
        </w:tc>
      </w:tr>
      <w:tr>
        <w:trPr>
          <w:trHeight w:val="172"/>
        </w:trPr>
        <w:tc>
          <w:tcPr>
            <w:tcW w:w="5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Vehicles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96,693</w:t>
            </w:r>
          </w:p>
        </w:tc>
        <w:tc>
          <w:tcPr>
            <w:tcW w:w="3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22,710</w:t>
            </w:r>
          </w:p>
        </w:tc>
      </w:tr>
      <w:tr>
        <w:trPr>
          <w:trHeight w:val="173"/>
        </w:trPr>
        <w:tc>
          <w:tcPr>
            <w:tcW w:w="5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Office furniture and equipment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20,219</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11,347</w:t>
            </w:r>
          </w:p>
        </w:tc>
      </w:tr>
      <w:tr>
        <w:trPr>
          <w:trHeight w:val="172"/>
        </w:trPr>
        <w:tc>
          <w:tcPr>
            <w:tcW w:w="520" w:type="dxa"/>
            <w:vAlign w:val="bottom"/>
          </w:tcPr>
          <w:p>
            <w:pPr>
              <w:spacing w:after="0"/>
              <w:rPr>
                <w:sz w:val="14"/>
                <w:szCs w:val="14"/>
                <w:color w:val="auto"/>
              </w:rPr>
            </w:pPr>
          </w:p>
        </w:tc>
        <w:tc>
          <w:tcPr>
            <w:tcW w:w="57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3"/>
        </w:trPr>
        <w:tc>
          <w:tcPr>
            <w:tcW w:w="6300" w:type="dxa"/>
            <w:vAlign w:val="bottom"/>
            <w:gridSpan w:val="2"/>
          </w:tcPr>
          <w:p>
            <w:pPr>
              <w:ind w:left="520"/>
              <w:spacing w:after="0"/>
              <w:rPr>
                <w:sz w:val="20"/>
                <w:szCs w:val="20"/>
                <w:color w:val="auto"/>
              </w:rPr>
            </w:pPr>
            <w:r>
              <w:rPr>
                <w:rFonts w:ascii="Arial" w:cs="Arial" w:eastAsia="Arial" w:hAnsi="Arial"/>
                <w:sz w:val="14"/>
                <w:szCs w:val="14"/>
                <w:color w:val="auto"/>
              </w:rPr>
              <w:t>Less: accumulated depreciation and amortization</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1,767,186</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1,388,197</w:t>
            </w:r>
          </w:p>
        </w:tc>
        <w:tc>
          <w:tcPr>
            <w:tcW w:w="100" w:type="dxa"/>
            <w:vAlign w:val="bottom"/>
          </w:tcPr>
          <w:p>
            <w:pPr>
              <w:spacing w:after="0"/>
              <w:rPr>
                <w:sz w:val="15"/>
                <w:szCs w:val="15"/>
                <w:color w:val="auto"/>
              </w:rPr>
            </w:pPr>
          </w:p>
        </w:tc>
      </w:tr>
      <w:tr>
        <w:trPr>
          <w:trHeight w:val="172"/>
        </w:trPr>
        <w:tc>
          <w:tcPr>
            <w:tcW w:w="520" w:type="dxa"/>
            <w:vAlign w:val="bottom"/>
          </w:tcPr>
          <w:p>
            <w:pPr>
              <w:spacing w:after="0"/>
              <w:rPr>
                <w:sz w:val="14"/>
                <w:szCs w:val="14"/>
                <w:color w:val="auto"/>
              </w:rPr>
            </w:pPr>
          </w:p>
        </w:tc>
        <w:tc>
          <w:tcPr>
            <w:tcW w:w="57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48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14,845,470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2,503,658</w:t>
            </w:r>
          </w:p>
        </w:tc>
        <w:tc>
          <w:tcPr>
            <w:tcW w:w="10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Depreciation and amortization expense for the years ended December 31, 2020 and 2019 was $383,142 and $197,210, respectively.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All tangible personal property with a useful life of at least three years and a unit acquisition cost of $5,000 or more will be capitalized and depreciated over its useful life using the straight-line method of depreciation. The Corporation will expense the full acquisition cost of tangible personal property below these thresholds in the year of purchase. The basis of accounting for depreciable fixed assets is acquisition cost and any additional expenditures required to make the asset ready for use. The carrying amount at the balance sheet date of long-lived assets under construction-in-progress includes assets purchased, constructed, or being developed internally that are not yet in service. Depreciation commences when the assets are placed in service.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has several ongoing construction projects related to the expansion of its operating capacity. As of December 31, 2020 and December 31, 2019, the Corporation’s construction-in-progress was as follows: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72"/>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200L commercial facility</w:t>
            </w:r>
          </w:p>
        </w:tc>
        <w:tc>
          <w:tcPr>
            <w:tcW w:w="17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4,148,113</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200L commercial facility equipment</w:t>
            </w: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486,381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2"/>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New animal barn (#6)</w:t>
            </w:r>
          </w:p>
        </w:tc>
        <w:tc>
          <w:tcPr>
            <w:tcW w:w="17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1,551,167</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New office space (at Headquarters)</w:t>
            </w: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477,907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2"/>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17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66,105</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83,966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4"/>
        </w:trPr>
        <w:tc>
          <w:tcPr>
            <w:tcW w:w="3840" w:type="dxa"/>
            <w:vAlign w:val="bottom"/>
          </w:tcPr>
          <w:p>
            <w:pPr>
              <w:spacing w:after="0"/>
              <w:rPr>
                <w:sz w:val="20"/>
                <w:szCs w:val="20"/>
                <w:color w:val="auto"/>
              </w:rPr>
            </w:pPr>
            <w:r>
              <w:rPr>
                <w:rFonts w:ascii="Arial" w:cs="Arial" w:eastAsia="Arial" w:hAnsi="Arial"/>
                <w:sz w:val="14"/>
                <w:szCs w:val="14"/>
                <w:color w:val="auto"/>
              </w:rPr>
              <w:t>Total construction-in-progress</w:t>
            </w:r>
          </w:p>
        </w:tc>
        <w:tc>
          <w:tcPr>
            <w:tcW w:w="2700" w:type="dxa"/>
            <w:vAlign w:val="bottom"/>
            <w:gridSpan w:val="2"/>
          </w:tcPr>
          <w:p>
            <w:pPr>
              <w:jc w:val="right"/>
              <w:ind w:right="82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6,729,673</w:t>
            </w:r>
          </w:p>
        </w:tc>
        <w:tc>
          <w:tcPr>
            <w:tcW w:w="260" w:type="dxa"/>
            <w:vAlign w:val="bottom"/>
          </w:tcPr>
          <w:p>
            <w:pPr>
              <w:spacing w:after="0"/>
              <w:rPr>
                <w:sz w:val="14"/>
                <w:szCs w:val="14"/>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83,966</w:t>
            </w:r>
          </w:p>
        </w:tc>
        <w:tc>
          <w:tcPr>
            <w:tcW w:w="100" w:type="dxa"/>
            <w:vAlign w:val="bottom"/>
          </w:tcPr>
          <w:p>
            <w:pPr>
              <w:spacing w:after="0"/>
              <w:rPr>
                <w:sz w:val="14"/>
                <w:szCs w:val="14"/>
                <w:color w:val="auto"/>
              </w:rPr>
            </w:pPr>
          </w:p>
        </w:tc>
      </w:tr>
      <w:tr>
        <w:trPr>
          <w:trHeight w:val="20"/>
        </w:trPr>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200L commercial facility and 200L commercial facility equipment are expected to be complete by the end of the third quarter of 2021. Construction of the new animal barn (#6) is expected to be completed in July 2021. Construction of the new office space (at Headquarters) is expected to be complete by the end of August 2021.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(7) Leases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Corporation has an operating lease for lab space from Sanford Health (a related party), under a lease that started in June 2014 and ran through June 2019, at which time the lease was amended to run through August 2024. This lease can be terminated with 30 days advance written notice. The lease is for $58,496 per month. The operating lease does not include an option to extend beyond the life of the current term. The lease does not provide an implicit rate, and, therefore, the Corporation used an IBR of 4.77% as the discount rate when measuring the operating lease liability. The Corporation estimated the incremental borrowing rate based upon comparing interest rates available in the market for similar borrowings and the credit quality of the Corporation.</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Corporation entered into a lease for office, laboratory, and warehouse space in November 2020. This lease has a 3-year term, with options to extend for 3 additional periods of 3 years each. The options were not included in the right of use calculation as it is unclear as to whether or not the location will meet the Corporation’s requirements beyond the next three years. The lease cost is $28,716 per month. The Corporation used an IBR of 4.69% as the discount rate when measuring the operating lease liability. The Corporation estimated the incremental borrowing rate based upon comparing interest rates available in the market for similar borrowings and the credit quality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Corporation entered into a lease for barn space for the housing of goats in April 2020. This lease has a 2-year term, with automatic renewals for a one-year period after the initial term expires until either party terminates. The options were not included in the right of use calculation, as the goat project is mostly funded by government grants, and those grants do not currently extend beyond the initial lease term. The lease cost is $665 per month for the first year, then $678 per month for the second year. The Corporation used an IBR of 4.08% as the discount rate when measuring the operating lease liability. The Corporation estimated the incremental borrowing rate based upon comparing interest rates available in the market for similar borrowings and the credit quality of the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has the following finance leases:</w:t>
      </w:r>
    </w:p>
    <w:p>
      <w:pPr>
        <w:spacing w:after="0" w:line="182" w:lineRule="exact"/>
        <w:rPr>
          <w:sz w:val="20"/>
          <w:szCs w:val="20"/>
          <w:color w:val="auto"/>
        </w:rPr>
      </w:pPr>
    </w:p>
    <w:p>
      <w:pPr>
        <w:jc w:val="both"/>
        <w:ind w:left="520" w:hanging="257"/>
        <w:spacing w:after="0" w:line="280" w:lineRule="auto"/>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December 2018, the Corporation entered into a finance lease with Dakota Ag Properties for a new animal facility which includes the surrounding land. The facility and the land have been accounted for as separate lease components. The lease is based upon payback of $4,000,000 in construction costs, with a 20-year term at an interest rate of 8%. The monthly payment for this lease is $33,458. The Corporation has the option to purchase the asset at any time during the term of the lease for the balance of the unamortized lease payments.</w:t>
      </w:r>
    </w:p>
    <w:p>
      <w:pPr>
        <w:spacing w:after="0" w:line="1" w:lineRule="exact"/>
        <w:rPr>
          <w:rFonts w:ascii="Arial" w:cs="Arial" w:eastAsia="Arial" w:hAnsi="Arial"/>
          <w:sz w:val="13"/>
          <w:szCs w:val="13"/>
          <w:color w:val="auto"/>
        </w:rPr>
      </w:pPr>
    </w:p>
    <w:p>
      <w:pPr>
        <w:ind w:left="520" w:hanging="257"/>
        <w:spacing w:after="0" w:line="275" w:lineRule="auto"/>
        <w:tabs>
          <w:tab w:leader="none" w:pos="5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December 2018, the Corporation entered into an equipment lease for a 12,000-gallon propane tank that is located on the Corporation’s animal facility. The lease is for five years with an annual payment of $8,199. The Corporation has the option to purchase the asset at any time during the term of the lease for the balance of the unamortized lease payments.</w:t>
      </w:r>
    </w:p>
    <w:p>
      <w:pPr>
        <w:ind w:left="520" w:hanging="257"/>
        <w:spacing w:after="0" w:line="255"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July 2018, the Corporation entered into a lease agreement with a bank, for a ruby cell analyzer. The lease agreement is for a five-year term. The monthly payment for this lease is $807. The Corporation has the option to purchase the asset at the end of the lease for $1.</w:t>
      </w:r>
    </w:p>
    <w:p>
      <w:pPr>
        <w:spacing w:after="0" w:line="1" w:lineRule="exact"/>
        <w:rPr>
          <w:rFonts w:ascii="Arial" w:cs="Arial" w:eastAsia="Arial" w:hAnsi="Arial"/>
          <w:sz w:val="14"/>
          <w:szCs w:val="14"/>
          <w:color w:val="auto"/>
        </w:rPr>
      </w:pPr>
    </w:p>
    <w:p>
      <w:pPr>
        <w:ind w:left="520" w:hanging="257"/>
        <w:spacing w:after="0" w:line="27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March 2019, the Corporation entered into two lease agreements for laboratory equipment. The leases are each for a 3-year term and a combined monthly payment of $5,956. Both leases have a $1 purchase option at the end of the lease term.</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lease agreements do not require material variable lease payments, residual value guarantees or restrictive covenants.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amortizable lives of the operating lease assets are limited by their expected lease terms. The amortizable lives of the finance lease assets are limited by their expected lives, as the Corporation intends to exercise the purchase options at the end of the leases. The following is the estimated useful lives of the finance lease assets:</w:t>
      </w:r>
    </w:p>
    <w:p>
      <w:pPr>
        <w:sectPr>
          <w:pgSz w:w="11900" w:h="16838" w:orient="portrait"/>
          <w:cols w:equalWidth="0" w:num="1">
            <w:col w:w="11280"/>
          </w:cols>
          <w:pgMar w:left="300" w:top="554" w:right="31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Animal Facility</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Equipment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Land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3 – 7 years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Indefinite</w:t>
      </w:r>
    </w:p>
    <w:p>
      <w:pPr>
        <w:spacing w:after="0" w:line="173" w:lineRule="exact"/>
        <w:rPr>
          <w:sz w:val="20"/>
          <w:szCs w:val="20"/>
          <w:color w:val="auto"/>
        </w:rPr>
      </w:pPr>
    </w:p>
    <w:p>
      <w:pPr>
        <w:sectPr>
          <w:pgSz w:w="11900" w:h="16838" w:orient="portrait"/>
          <w:cols w:equalWidth="0" w:num="2">
            <w:col w:w="3140" w:space="720"/>
            <w:col w:w="7420"/>
          </w:cols>
          <w:pgMar w:left="300" w:top="554" w:right="319" w:bottom="1440" w:gutter="0" w:footer="0" w:header="0"/>
          <w:type w:val="continuous"/>
        </w:sectPr>
      </w:pPr>
    </w:p>
    <w:p>
      <w:pPr>
        <w:spacing w:after="0"/>
        <w:rPr>
          <w:sz w:val="20"/>
          <w:szCs w:val="20"/>
          <w:color w:val="auto"/>
        </w:rPr>
      </w:pPr>
      <w:r>
        <w:rPr>
          <w:rFonts w:ascii="Arial" w:cs="Arial" w:eastAsia="Arial" w:hAnsi="Arial"/>
          <w:sz w:val="14"/>
          <w:szCs w:val="14"/>
          <w:color w:val="auto"/>
        </w:rPr>
        <w:t>The Corporation’s weighted-average remaining lease term and weighted-average discount rate for operating and finance leases as of December 31, 2020 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Operating</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color w:val="auto"/>
              </w:rPr>
              <w:t>Finance</w:t>
            </w:r>
          </w:p>
        </w:tc>
      </w:tr>
      <w:tr>
        <w:trPr>
          <w:trHeight w:val="172"/>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 years</w:t>
            </w:r>
          </w:p>
        </w:tc>
        <w:tc>
          <w:tcPr>
            <w:tcW w:w="2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 years</w:t>
            </w:r>
          </w:p>
        </w:tc>
        <w:tc>
          <w:tcPr>
            <w:tcW w:w="140" w:type="dxa"/>
            <w:vAlign w:val="bottom"/>
            <w:tcBorders>
              <w:top w:val="single" w:sz="8" w:color="CCEEFF"/>
            </w:tcBorders>
            <w:shd w:val="clear" w:color="auto" w:fill="CCEEFF"/>
          </w:tcPr>
          <w:p>
            <w:pPr>
              <w:spacing w:after="0"/>
              <w:rPr>
                <w:sz w:val="14"/>
                <w:szCs w:val="14"/>
                <w:color w:val="auto"/>
              </w:rPr>
            </w:pPr>
          </w:p>
        </w:tc>
      </w:tr>
      <w:tr>
        <w:trPr>
          <w:trHeight w:val="181"/>
        </w:trPr>
        <w:tc>
          <w:tcPr>
            <w:tcW w:w="5140" w:type="dxa"/>
            <w:vAlign w:val="bottom"/>
          </w:tcPr>
          <w:p>
            <w:pPr>
              <w:spacing w:after="0"/>
              <w:rPr>
                <w:sz w:val="20"/>
                <w:szCs w:val="20"/>
                <w:color w:val="auto"/>
              </w:rPr>
            </w:pPr>
            <w:r>
              <w:rPr>
                <w:rFonts w:ascii="Arial" w:cs="Arial" w:eastAsia="Arial" w:hAnsi="Arial"/>
                <w:sz w:val="14"/>
                <w:szCs w:val="14"/>
                <w:color w:val="auto"/>
              </w:rPr>
              <w:t>Weighted-average discount rate</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4.75%</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7.96%</w:t>
            </w:r>
          </w:p>
        </w:tc>
      </w:tr>
    </w:tbl>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table below reconciles the undiscounted future minimum lease payments under non-cancelable leases with terms of more than one year to the total lease liabilities recognized on the consolidated balance sheet as of December 31, 2020:</w:t>
      </w: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Finance</w:t>
            </w:r>
          </w:p>
        </w:tc>
        <w:tc>
          <w:tcPr>
            <w:tcW w:w="3380" w:type="dxa"/>
            <w:vAlign w:val="bottom"/>
          </w:tcPr>
          <w:p>
            <w:pPr>
              <w:spacing w:after="0"/>
              <w:rPr>
                <w:sz w:val="15"/>
                <w:szCs w:val="15"/>
                <w:color w:val="auto"/>
              </w:rPr>
            </w:pPr>
          </w:p>
        </w:tc>
      </w:tr>
      <w:tr>
        <w:trPr>
          <w:trHeight w:val="17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1,053,891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490,848</w:t>
            </w:r>
          </w:p>
        </w:tc>
        <w:tc>
          <w:tcPr>
            <w:tcW w:w="80" w:type="dxa"/>
            <w:vAlign w:val="bottom"/>
            <w:tcBorders>
              <w:top w:val="single" w:sz="8" w:color="CCEEFF"/>
            </w:tcBorders>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1,048,573</w:t>
            </w:r>
          </w:p>
        </w:tc>
        <w:tc>
          <w:tcPr>
            <w:tcW w:w="2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444,928</w:t>
            </w:r>
          </w:p>
        </w:tc>
        <w:tc>
          <w:tcPr>
            <w:tcW w:w="3380" w:type="dxa"/>
            <w:vAlign w:val="bottom"/>
          </w:tcPr>
          <w:p>
            <w:pPr>
              <w:spacing w:after="0"/>
              <w:rPr>
                <w:sz w:val="14"/>
                <w:szCs w:val="14"/>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989,107</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406,339</w:t>
            </w:r>
          </w:p>
        </w:tc>
        <w:tc>
          <w:tcPr>
            <w:tcW w:w="3380" w:type="dxa"/>
            <w:vAlign w:val="bottom"/>
          </w:tcPr>
          <w:p>
            <w:pPr>
              <w:spacing w:after="0"/>
              <w:rPr>
                <w:sz w:val="14"/>
                <w:szCs w:val="14"/>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467,968</w:t>
            </w:r>
          </w:p>
        </w:tc>
        <w:tc>
          <w:tcPr>
            <w:tcW w:w="22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401,496</w:t>
            </w:r>
          </w:p>
        </w:tc>
        <w:tc>
          <w:tcPr>
            <w:tcW w:w="3380" w:type="dxa"/>
            <w:vAlign w:val="bottom"/>
          </w:tcPr>
          <w:p>
            <w:pPr>
              <w:spacing w:after="0"/>
              <w:rPr>
                <w:sz w:val="14"/>
                <w:szCs w:val="14"/>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401,496</w:t>
            </w:r>
          </w:p>
        </w:tc>
        <w:tc>
          <w:tcPr>
            <w:tcW w:w="3380" w:type="dxa"/>
            <w:vAlign w:val="bottom"/>
          </w:tcPr>
          <w:p>
            <w:pPr>
              <w:spacing w:after="0"/>
              <w:rPr>
                <w:sz w:val="14"/>
                <w:szCs w:val="14"/>
                <w:color w:val="auto"/>
              </w:rPr>
            </w:pPr>
          </w:p>
        </w:tc>
      </w:tr>
      <w:tr>
        <w:trPr>
          <w:trHeight w:val="173"/>
        </w:trPr>
        <w:tc>
          <w:tcPr>
            <w:tcW w:w="5220" w:type="dxa"/>
            <w:vAlign w:val="bottom"/>
          </w:tcPr>
          <w:p>
            <w:pPr>
              <w:spacing w:after="0"/>
              <w:rPr>
                <w:sz w:val="20"/>
                <w:szCs w:val="20"/>
                <w:color w:val="auto"/>
              </w:rPr>
            </w:pPr>
            <w:r>
              <w:rPr>
                <w:rFonts w:ascii="Arial" w:cs="Arial" w:eastAsia="Arial" w:hAnsi="Arial"/>
                <w:sz w:val="14"/>
                <w:szCs w:val="14"/>
                <w:color w:val="auto"/>
              </w:rPr>
              <w:t>Thereafter</w:t>
            </w:r>
          </w:p>
        </w:tc>
        <w:tc>
          <w:tcPr>
            <w:tcW w:w="1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5,185,990</w:t>
            </w:r>
          </w:p>
        </w:tc>
        <w:tc>
          <w:tcPr>
            <w:tcW w:w="8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2"/>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Undiscounted future minimum lease payments</w:t>
            </w: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3,559,539</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7,331,097</w:t>
            </w:r>
          </w:p>
        </w:tc>
        <w:tc>
          <w:tcPr>
            <w:tcW w:w="80" w:type="dxa"/>
            <w:vAlign w:val="bottom"/>
            <w:tcBorders>
              <w:top w:val="single" w:sz="8" w:color="CCEEFF"/>
            </w:tcBorders>
            <w:shd w:val="clear" w:color="auto" w:fill="CCEEFF"/>
          </w:tcPr>
          <w:p>
            <w:pPr>
              <w:spacing w:after="0"/>
              <w:rPr>
                <w:sz w:val="14"/>
                <w:szCs w:val="14"/>
                <w:color w:val="auto"/>
              </w:rPr>
            </w:pPr>
          </w:p>
        </w:tc>
        <w:tc>
          <w:tcPr>
            <w:tcW w:w="3380" w:type="dxa"/>
            <w:vAlign w:val="bottom"/>
          </w:tcPr>
          <w:p>
            <w:pPr>
              <w:spacing w:after="0"/>
              <w:rPr>
                <w:sz w:val="14"/>
                <w:szCs w:val="14"/>
                <w:color w:val="auto"/>
              </w:rPr>
            </w:pPr>
          </w:p>
        </w:tc>
      </w:tr>
      <w:tr>
        <w:trPr>
          <w:trHeight w:val="172"/>
        </w:trPr>
        <w:tc>
          <w:tcPr>
            <w:tcW w:w="5220" w:type="dxa"/>
            <w:vAlign w:val="bottom"/>
          </w:tcPr>
          <w:p>
            <w:pPr>
              <w:spacing w:after="0"/>
              <w:rPr>
                <w:sz w:val="20"/>
                <w:szCs w:val="20"/>
                <w:color w:val="auto"/>
              </w:rPr>
            </w:pPr>
            <w:r>
              <w:rPr>
                <w:rFonts w:ascii="Arial" w:cs="Arial" w:eastAsia="Arial" w:hAnsi="Arial"/>
                <w:sz w:val="14"/>
                <w:szCs w:val="14"/>
                <w:color w:val="auto"/>
              </w:rPr>
              <w:t>Less: Amount representing interest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9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payments</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(262,497)</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(3,212,826)</w:t>
            </w:r>
          </w:p>
        </w:tc>
        <w:tc>
          <w:tcPr>
            <w:tcW w:w="3380" w:type="dxa"/>
            <w:vAlign w:val="bottom"/>
          </w:tcPr>
          <w:p>
            <w:pPr>
              <w:spacing w:after="0"/>
              <w:rPr>
                <w:sz w:val="16"/>
                <w:szCs w:val="16"/>
                <w:color w:val="auto"/>
              </w:rPr>
            </w:pPr>
          </w:p>
        </w:tc>
      </w:tr>
      <w:tr>
        <w:trPr>
          <w:trHeight w:val="153"/>
        </w:trPr>
        <w:tc>
          <w:tcPr>
            <w:tcW w:w="522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Total lease liabilities</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3,297,042</w:t>
            </w:r>
          </w:p>
        </w:tc>
        <w:tc>
          <w:tcPr>
            <w:tcW w:w="22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4,118,271</w:t>
            </w:r>
          </w:p>
        </w:tc>
        <w:tc>
          <w:tcPr>
            <w:tcW w:w="80" w:type="dxa"/>
            <w:vAlign w:val="bottom"/>
            <w:tcBorders>
              <w:top w:val="single" w:sz="8" w:color="CCEEFF"/>
            </w:tcBorders>
          </w:tcPr>
          <w:p>
            <w:pPr>
              <w:spacing w:after="0"/>
              <w:rPr>
                <w:sz w:val="13"/>
                <w:szCs w:val="13"/>
                <w:color w:val="auto"/>
              </w:rPr>
            </w:pPr>
          </w:p>
        </w:tc>
        <w:tc>
          <w:tcPr>
            <w:tcW w:w="3380" w:type="dxa"/>
            <w:vAlign w:val="bottom"/>
          </w:tcPr>
          <w:p>
            <w:pPr>
              <w:spacing w:after="0"/>
              <w:rPr>
                <w:sz w:val="13"/>
                <w:szCs w:val="13"/>
                <w:color w:val="auto"/>
              </w:rPr>
            </w:pPr>
          </w:p>
        </w:tc>
      </w:tr>
      <w:tr>
        <w:trPr>
          <w:trHeight w:val="19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Less current portion</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(924,265)</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(194,717)</w:t>
            </w:r>
          </w:p>
        </w:tc>
        <w:tc>
          <w:tcPr>
            <w:tcW w:w="3380" w:type="dxa"/>
            <w:vAlign w:val="bottom"/>
          </w:tcPr>
          <w:p>
            <w:pPr>
              <w:spacing w:after="0"/>
              <w:rPr>
                <w:sz w:val="16"/>
                <w:szCs w:val="16"/>
                <w:color w:val="auto"/>
              </w:rPr>
            </w:pPr>
          </w:p>
        </w:tc>
      </w:tr>
      <w:tr>
        <w:trPr>
          <w:trHeight w:val="153"/>
        </w:trPr>
        <w:tc>
          <w:tcPr>
            <w:tcW w:w="522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Noncurrent lease liabilities</w:t>
            </w:r>
          </w:p>
        </w:tc>
        <w:tc>
          <w:tcPr>
            <w:tcW w:w="180" w:type="dxa"/>
            <w:vAlign w:val="bottom"/>
            <w:tcBorders>
              <w:top w:val="single" w:sz="8" w:color="auto"/>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2,372,777</w:t>
            </w:r>
          </w:p>
        </w:tc>
        <w:tc>
          <w:tcPr>
            <w:tcW w:w="220" w:type="dxa"/>
            <w:vAlign w:val="bottom"/>
            <w:tcBorders>
              <w:top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3,923,554</w:t>
            </w:r>
          </w:p>
        </w:tc>
        <w:tc>
          <w:tcPr>
            <w:tcW w:w="80" w:type="dxa"/>
            <w:vAlign w:val="bottom"/>
            <w:tcBorders>
              <w:top w:val="single" w:sz="8" w:color="CCEEFF"/>
            </w:tcBorders>
          </w:tcPr>
          <w:p>
            <w:pPr>
              <w:spacing w:after="0"/>
              <w:rPr>
                <w:sz w:val="13"/>
                <w:szCs w:val="13"/>
                <w:color w:val="auto"/>
              </w:rPr>
            </w:pPr>
          </w:p>
        </w:tc>
        <w:tc>
          <w:tcPr>
            <w:tcW w:w="3380" w:type="dxa"/>
            <w:vAlign w:val="bottom"/>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17"/>
        </w:trPr>
        <w:tc>
          <w:tcPr>
            <w:tcW w:w="5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4"/>
                <w:szCs w:val="14"/>
                <w:color w:val="auto"/>
              </w:rPr>
              <w:t>F-60</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4" w:right="31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Operating lease expense was approximately $710,000 and $373,000, respectively, for the years ended December 31, 2020 and 2019. Operating lease costs are included within research and development expenses on the consolidated statements of operations.</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Finance lease costs for the years ended December 31, 2020 and 2019 included approximately $163,000 and $140,000, respectively, in right-of-use asset amortization and approximately $445,000 and $316,000, respectively, of interest expense. Finance lease costs are included within research and development expenses on the consolidated statements of operations.</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Cash payments under operating and finance leases were approximately $564,000 and $491,000, respectively, for the year ended December 31, 2020. Cash payments under operating and finance leases were approximately $327,000 and $491,000, respectively, for the year ended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(8) Accrued Expenses and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and 2019, accrued expenses and other current liabilities consisted of the following:</w:t>
      </w:r>
    </w:p>
    <w:p>
      <w:pPr>
        <w:spacing w:after="0" w:line="20" w:lineRule="exact"/>
        <w:rPr>
          <w:sz w:val="20"/>
          <w:szCs w:val="20"/>
          <w:color w:val="auto"/>
        </w:rPr>
      </w:pPr>
    </w:p>
    <w:p>
      <w:pPr>
        <w:ind w:left="5940"/>
        <w:spacing w:after="0"/>
        <w:tabs>
          <w:tab w:leader="none" w:pos="7320" w:val="left"/>
        </w:tabs>
        <w:rPr>
          <w:sz w:val="20"/>
          <w:szCs w:val="20"/>
          <w:color w:val="auto"/>
        </w:rPr>
      </w:pP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2019</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0"/>
        </w:trPr>
        <w:tc>
          <w:tcPr>
            <w:tcW w:w="35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154"/>
        </w:trPr>
        <w:tc>
          <w:tcPr>
            <w:tcW w:w="35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Accrued vacation</w:t>
            </w:r>
          </w:p>
        </w:tc>
        <w:tc>
          <w:tcPr>
            <w:tcW w:w="2000" w:type="dxa"/>
            <w:vAlign w:val="bottom"/>
            <w:gridSpan w:val="2"/>
            <w:shd w:val="clear" w:color="auto" w:fill="CCEEFF"/>
          </w:tcPr>
          <w:p>
            <w:pPr>
              <w:jc w:val="right"/>
              <w:ind w:right="229"/>
              <w:spacing w:after="0" w:line="154"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4" w:lineRule="exact"/>
              <w:rPr>
                <w:sz w:val="20"/>
                <w:szCs w:val="20"/>
                <w:color w:val="auto"/>
              </w:rPr>
            </w:pPr>
            <w:r>
              <w:rPr>
                <w:rFonts w:ascii="Arial" w:cs="Arial" w:eastAsia="Arial" w:hAnsi="Arial"/>
                <w:sz w:val="14"/>
                <w:szCs w:val="14"/>
                <w:color w:val="auto"/>
              </w:rPr>
              <w:t>438,936</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48"/>
              <w:spacing w:after="0" w:line="154"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248,722</w:t>
            </w:r>
          </w:p>
        </w:tc>
      </w:tr>
      <w:tr>
        <w:trPr>
          <w:trHeight w:val="172"/>
        </w:trPr>
        <w:tc>
          <w:tcPr>
            <w:tcW w:w="3560" w:type="dxa"/>
            <w:vAlign w:val="bottom"/>
          </w:tcPr>
          <w:p>
            <w:pPr>
              <w:spacing w:after="0"/>
              <w:rPr>
                <w:sz w:val="20"/>
                <w:szCs w:val="20"/>
                <w:color w:val="auto"/>
              </w:rPr>
            </w:pPr>
            <w:r>
              <w:rPr>
                <w:rFonts w:ascii="Arial" w:cs="Arial" w:eastAsia="Arial" w:hAnsi="Arial"/>
                <w:sz w:val="14"/>
                <w:szCs w:val="14"/>
                <w:color w:val="auto"/>
              </w:rPr>
              <w:t>Accrued payroll</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314,451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143,210</w:t>
            </w:r>
          </w:p>
        </w:tc>
      </w:tr>
      <w:tr>
        <w:trPr>
          <w:trHeight w:val="172"/>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Accrued construction-in-progress</w:t>
            </w: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637,776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3560" w:type="dxa"/>
            <w:vAlign w:val="bottom"/>
          </w:tcPr>
          <w:p>
            <w:pPr>
              <w:spacing w:after="0"/>
              <w:rPr>
                <w:sz w:val="20"/>
                <w:szCs w:val="20"/>
                <w:color w:val="auto"/>
              </w:rPr>
            </w:pPr>
            <w:r>
              <w:rPr>
                <w:rFonts w:ascii="Arial" w:cs="Arial" w:eastAsia="Arial" w:hAnsi="Arial"/>
                <w:sz w:val="14"/>
                <w:szCs w:val="14"/>
                <w:color w:val="auto"/>
              </w:rPr>
              <w:t>Accrued lab supplies</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301,989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18,837</w:t>
            </w:r>
          </w:p>
        </w:tc>
      </w:tr>
      <w:tr>
        <w:trPr>
          <w:trHeight w:val="172"/>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Accrued project consulting</w:t>
            </w: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5,352</w:t>
            </w:r>
          </w:p>
        </w:tc>
      </w:tr>
      <w:tr>
        <w:trPr>
          <w:trHeight w:val="173"/>
        </w:trPr>
        <w:tc>
          <w:tcPr>
            <w:tcW w:w="3560" w:type="dxa"/>
            <w:vAlign w:val="bottom"/>
          </w:tcPr>
          <w:p>
            <w:pPr>
              <w:spacing w:after="0"/>
              <w:rPr>
                <w:sz w:val="20"/>
                <w:szCs w:val="20"/>
                <w:color w:val="auto"/>
              </w:rPr>
            </w:pPr>
            <w:r>
              <w:rPr>
                <w:rFonts w:ascii="Arial" w:cs="Arial" w:eastAsia="Arial" w:hAnsi="Arial"/>
                <w:sz w:val="14"/>
                <w:szCs w:val="14"/>
                <w:color w:val="auto"/>
              </w:rPr>
              <w:t>Other accrued expenses</w:t>
            </w:r>
          </w:p>
        </w:tc>
        <w:tc>
          <w:tcPr>
            <w:tcW w:w="1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90,982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78,433</w:t>
            </w:r>
          </w:p>
        </w:tc>
      </w:tr>
      <w:tr>
        <w:trPr>
          <w:trHeight w:val="172"/>
        </w:trPr>
        <w:tc>
          <w:tcPr>
            <w:tcW w:w="3560" w:type="dxa"/>
            <w:vAlign w:val="bottom"/>
            <w:tcBorders>
              <w:top w:val="single" w:sz="8" w:color="CCEEFF"/>
              <w:bottom w:val="single" w:sz="8" w:color="CCEEFF"/>
            </w:tcBorders>
            <w:shd w:val="clear" w:color="auto" w:fill="CCEEFF"/>
          </w:tcPr>
          <w:p>
            <w:pPr>
              <w:spacing w:after="0"/>
              <w:rPr>
                <w:sz w:val="14"/>
                <w:szCs w:val="14"/>
                <w:color w:val="auto"/>
              </w:rPr>
            </w:pPr>
          </w:p>
        </w:tc>
        <w:tc>
          <w:tcPr>
            <w:tcW w:w="16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1,904,878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494,554</w:t>
            </w:r>
          </w:p>
        </w:tc>
      </w:tr>
      <w:tr>
        <w:trPr>
          <w:trHeight w:val="20"/>
        </w:trPr>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(9) Debt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 payable, related party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February 24, 2016, the Corporation entered into a loan agreement with Christiansen Land and Cattle, Ltd. (“CLC”), a related party, for a $3.0 million revolving line of credit secured by a blanket security interest in the assets of the Corporation.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Corporation borrowed $2.5 million from the line of credit in 2016, and $350,000 in 2017. The line of credit bears a fixed rate per annum of 6% compounded annually. The initial agreement was based upon repayment following a significant capital event – closing of equity or debt financing with total proceeds to the Corporation of $15 million or more or one year from the agreement date, whichever occurred first. The agreement was amended in August 2018 to extend the repayment timeframe to August 31, 2019. The first payment to repay this loan was made on August 31, 2018 ($1.0 million payment). Additional voluntary payments were being made at the rate of $30,000 per month. In August 2019, the agreement was amended to extend the maturity date to the earlier of August 31, 2020 or the occurrence of a significant capital event, as defined above. The note payable balance as of December 31, 2019 was $1,364,644, which included accrued interest of $3,580. In July 2020, the note payable was paid in full.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payable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November 15, 2017, the Corporation entered into a loan agreement with a bank, for the financing of an ultrasound machine for $18,997. The agreement was for a four-year term, with monthly payments of $440. The note payable had a balance as of December 31, 2019 of $9,203 and was paid off in full in September 2020.</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In December 2017, the Corporation entered into two loan agreements with a financial institution. One agreement was for the purchase of a tractor for $116,661 at a 3.6% interest rate, and a second agreement for the purchase of a trailer, truck, scale, and chute for $47,721 at a 5.9% interest rate. The loan for the tractor included annual payments of $25,913 for the next five years starting in December 2018. The loan for the trailer, truck, scale, and chute included monthly payments of $920 for five years starting in January 2018 through December 2022. During 2019, the trailer, truck, scale, and chute loan was paid in full. The tractor loan balance as of December 31, 2020 and 2019 was $49,156 and $72,459, respectively.</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March 27, 2020, President Trump signed into law the “Coronavirus Aid, Relief and Economic Security Act (“CARES Act”). In April 2020, the Corporation entered into a loan agreement (the “PPP Loan”) with First Premier Bank under the Paycheck Protection Program (the “PPP”), which is part of the CARES Act administered by the United States Small Business Administration (“SBA”). As part of the application for these funds, the Corporation, in good faith, certified that the current economic uncertainty made the loan request necessary to support the ongoing operations of the Corporation. The certification further requires the Corporation to take into account its current business activity and its ability to access other sources of liquidity sufficient to support ongoing operations in a manner that is not significantly detrimental to the business. Under the PPP, the Corporation received proceeds of approximately $661,612. In accordance with the requirements of the PPP, the Corporation utilized the proceeds from the PPP Loan primarily for payroll costs. The PPP Loan has a 1.00% interest rate per annum, matures in April 2022 and is subject to the terms and conditions applicable to loans administered by the SBA under the PPP. Under the terms of PPP, all or certain amounts of the PPP Loan may be forgiven if they are used for qualifying expenses, as described in the CARES Act. The Corporation recorded the entire amount of the PPP Loan as debt. Under the terms of the PPP Loan, monthly payments of principal and interest were due to commence November 1, 2020, however, the SBA is deferring loan payments for borrowers who apply for loan forgiveness until the SBA remits the borrower’s loan forgiveness amount to the lender. No payments were made in 2020., and an application for forgiveness of the loan was completed.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gridSpan w:val="2"/>
          </w:tcPr>
          <w:p>
            <w:pPr>
              <w:spacing w:after="0"/>
              <w:rPr>
                <w:sz w:val="20"/>
                <w:szCs w:val="20"/>
                <w:color w:val="auto"/>
              </w:rPr>
            </w:pPr>
            <w:r>
              <w:rPr>
                <w:rFonts w:ascii="Arial" w:cs="Arial" w:eastAsia="Arial" w:hAnsi="Arial"/>
                <w:sz w:val="14"/>
                <w:szCs w:val="14"/>
                <w:color w:val="auto"/>
              </w:rPr>
              <w:t>The future loan payments are as follows:</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Note Payable</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538,731</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80" w:type="dxa"/>
            <w:vAlign w:val="bottom"/>
            <w:gridSpan w:val="2"/>
          </w:tcPr>
          <w:p>
            <w:pPr>
              <w:ind w:left="26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172,037</w:t>
            </w: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710,768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refer to Note 17, </w:t>
      </w:r>
      <w:r>
        <w:rPr>
          <w:rFonts w:ascii="Arial" w:cs="Arial" w:eastAsia="Arial" w:hAnsi="Arial"/>
          <w:sz w:val="14"/>
          <w:szCs w:val="14"/>
          <w:i w:val="1"/>
          <w:iCs w:val="1"/>
          <w:color w:val="auto"/>
        </w:rPr>
        <w:t>Subsequent Events</w:t>
      </w:r>
      <w:r>
        <w:rPr>
          <w:rFonts w:ascii="Arial" w:cs="Arial" w:eastAsia="Arial" w:hAnsi="Arial"/>
          <w:sz w:val="14"/>
          <w:szCs w:val="14"/>
          <w:color w:val="auto"/>
        </w:rPr>
        <w:t>,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Preferred Stock</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August 2019, the Corporation’s Certificate of Incorporation was amended to authorize the Corporation to issue 50,000,000 shares of preferred stock, of which 6,615,000 shares are designated as Series A preferred stock, 2,525,800 shares are designated as series A-1 preferred stock, 4,039,963 shares are designated as series A-2 preferred stock, 3,333,333 shares are designated as series A-2A preferred stock, and 8,571,429 shares are designated as series B preferred stock. The carrying value of Series A preferred stock is $1 per share, Series A-1 $1.88 per share, Series A-2 &amp; A-2A $3.00 per share, and Series B $3.50 per share.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preferred stock is entitled to receive noncumulative dividends in preference to any dividend on the common stock when, as, and if declared by the Corporation’s board of directors. The holders of the preferred stock also are entitled to participate pro rata in any dividends paid on the common stock on an as-if-converted basis.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Each holder of preferred stock is entitled to the number of votes equal to the number of shares of common stock that it could be converted into. As long as there are 8,000,000 shares of preferred stock outstanding, the vote or written consent of the holder of the majority of the outstanding preferred stock (all series voting as a single class) is required to approve any amendment of the certificate of incorporation that changes voting, preferences or privileges or restrictions of the preferred stock.</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event of liquidation or winding up of the Corporation, the preferred stockholders also are entitled to receive in preference to the holders of the common stock the greater of: a) a per share amount equal to their respective original purchase price plus any declared but unpaid dividends (the “Liquidation Preference”); or b) the amount to be paid on the common stock on an as-if-converted basis. The remaining assets would be distributed to the common stockholders.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holders of preferred stock have the right to convert the preferred stock into common stock, at any time, utilizing the then- effective conversion rate. The effective conversion rate as of December 31, 2020 and 2019 was 1:1. All preferred shares are automatically converted into common shares utilizing the then effective preferred conversion rate upon: a) the closing of the Corporation’s sale of its common stock in a firm commitment underwritten public offering pursuant to a registration statement under the Securities Act of 1933, covering the sale of the Corporation’s common stock if gross proceeds are at least $20,000,000 and the Corporation’s shares have been listed on a stock exchange, as defined; or b) the election of the holders of a majority of the outstanding shares of preferred stock.</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With any change of control of the Corporation or financing, the preferred stockholders must approve through majority vote any such change in control or financing event approved by the board of directors or the majority of the common stockholders. The preferred stock contains certain anti-dilution provisions, as defined.</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In addition to the rights described above, series A-2A preferred stock was redeemable at a price equal to $5 per preferred share at the option of the investor at any time during the redemption period, which was scheduled to commence in August 2022 and end in August 2023. As a result of the redemption feature, the Corporation classified the series A-2A preferred stock as mezzanine equity as of December 31, 2019. However, the redemption feature was terminated during 2020, and the series A-2A preferred stock was reclassified from mezzanine equity to permanent equity.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2019, 1,236,786 shares of series B preferred stock were sold in a private offering with gross proceeds of $4,328,752. In 2020, 2,853,754 shares of series B preferred stock were sold in a private offering with gross proceeds of $9,988,155. The debt issuance costs associated with the offering of the preferred stock were $87,949 in 2020 and $23,852 in 2019. The series B preferred stock bears all of the same rights described above, with the exception of the additional rights for the series A-2A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 Stock Option Plan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5, 2014, the Corporation approved a stock option grant plan (the “Plan”) for employees, directors, and non-employee consultants, which provides for the issuance of options to purchase common stock. The total shares authorized under the plan was originally 8,000,000; however, during 2019, the Plan was amended to increase the total shares authorized under the plan to 16,000,000.</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Vesting of the stock options is based upon years of service (employment). As of December 31, 2020 and 2019, 6,882,575 and 6,021,528 stock options, respectively, were vested and exercisable. None of the vested stock options were exercised as of December 31, 2020 and 2019. As of December 31, 2020, the aggregate intrinsic value of stock options outstanding was $11,256,034, of which $1,315,588 was unvested and $9,940,446 was vested and exercisable.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The Corporation uses the Black Scholes model to estimate the fair value of the stock options granted. For stock options granted during the years ended December 31, 2020 and 2019, the Corporation utilized the following weighted-average assumptions: A risk free interest rate of 0.13% and 1.58%, respectively; expected term of 6.25 years (both years); expected dividend yield of 0% (both years); and a volatility factor of 106.1% and 102.9%, respectively. There were no forfeitures or expirations during the years ended December 31, 2020 and 2019.</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expected term of the stock options was estimated using the “simplified” method, as defined by the Securities and Exchange Commission’s Staff Accounting Bulletin No. 107, Share-Based Payment. The volatility assumption was determined by examining the historical volatilities for industry peer companies, as the Corporation does not have sufficient trading history for its common stock. The risk-free interest rate assumption is based on the U.S. Treasury instruments whose term was consistent with the expected term of the options. The dividend assumption is based on the Corporation’s history and expectation of dividend payouts. The Corporation has never paid dividends on its common stock and does not anticipate paying dividends on its common stock in the foreseeable future. Therefore, the Corporation has assumed no dividend yield for purposes of estimating the fair value of the options.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Stock option activity for employees and non-employees under the Plan for the years ended December 31, 2020 and 2019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100" w:type="dxa"/>
            <w:vAlign w:val="bottom"/>
          </w:tcPr>
          <w:p>
            <w:pPr>
              <w:ind w:left="600"/>
              <w:spacing w:after="0"/>
              <w:rPr>
                <w:sz w:val="20"/>
                <w:szCs w:val="20"/>
                <w:color w:val="auto"/>
              </w:rPr>
            </w:pPr>
            <w:r>
              <w:rPr>
                <w:rFonts w:ascii="Arial" w:cs="Arial" w:eastAsia="Arial" w:hAnsi="Arial"/>
                <w:sz w:val="14"/>
                <w:szCs w:val="14"/>
                <w:b w:val="1"/>
                <w:bCs w:val="1"/>
                <w:color w:val="auto"/>
                <w:w w:val="90"/>
              </w:rPr>
              <w:t>Options</w:t>
            </w: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December 31, 2018</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3"/>
              </w:rPr>
              <w:t>6,516,250</w:t>
            </w:r>
          </w:p>
        </w:tc>
        <w:tc>
          <w:tcPr>
            <w:tcW w:w="1400" w:type="dxa"/>
            <w:vAlign w:val="bottom"/>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0.35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232,000</w:t>
            </w:r>
          </w:p>
        </w:tc>
        <w:tc>
          <w:tcPr>
            <w:tcW w:w="1400" w:type="dxa"/>
            <w:vAlign w:val="bottom"/>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1.01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December 31, 2019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3"/>
              </w:rPr>
              <w:t>6,748,250</w:t>
            </w:r>
          </w:p>
        </w:tc>
        <w:tc>
          <w:tcPr>
            <w:tcW w:w="1400" w:type="dxa"/>
            <w:vAlign w:val="bottom"/>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0.38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3"/>
        </w:trPr>
        <w:tc>
          <w:tcPr>
            <w:tcW w:w="6540" w:type="dxa"/>
            <w:vAlign w:val="bottom"/>
            <w:gridSpan w:val="3"/>
          </w:tcPr>
          <w:p>
            <w:pPr>
              <w:spacing w:after="0"/>
              <w:rPr>
                <w:sz w:val="20"/>
                <w:szCs w:val="20"/>
                <w:color w:val="auto"/>
              </w:rPr>
            </w:pPr>
            <w:r>
              <w:rPr>
                <w:rFonts w:ascii="Arial" w:cs="Arial" w:eastAsia="Arial" w:hAnsi="Arial"/>
                <w:sz w:val="14"/>
                <w:szCs w:val="14"/>
                <w:color w:val="auto"/>
              </w:rPr>
              <w:t>Granted</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2,067,742</w:t>
            </w:r>
          </w:p>
        </w:tc>
        <w:tc>
          <w:tcPr>
            <w:tcW w:w="1400" w:type="dxa"/>
            <w:vAlign w:val="bottom"/>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1.60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2020</w:t>
            </w: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8,815,992</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400" w:type="dxa"/>
            <w:vAlign w:val="bottom"/>
            <w:tcBorders>
              <w:top w:val="single" w:sz="8" w:color="CCEEFF"/>
              <w:bottom w:val="single" w:sz="8" w:color="CCEEFF"/>
            </w:tcBorders>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0.62</w:t>
            </w:r>
          </w:p>
        </w:tc>
        <w:tc>
          <w:tcPr>
            <w:tcW w:w="16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
        </w:trPr>
        <w:tc>
          <w:tcPr>
            <w:tcW w:w="65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440" w:type="dxa"/>
            <w:vAlign w:val="bottom"/>
            <w:gridSpan w:val="2"/>
          </w:tcPr>
          <w:p>
            <w:pPr>
              <w:spacing w:after="0" w:line="144" w:lineRule="exact"/>
              <w:rPr>
                <w:sz w:val="20"/>
                <w:szCs w:val="20"/>
                <w:color w:val="auto"/>
              </w:rPr>
            </w:pPr>
            <w:r>
              <w:rPr>
                <w:rFonts w:ascii="Arial" w:cs="Arial" w:eastAsia="Arial" w:hAnsi="Arial"/>
                <w:sz w:val="14"/>
                <w:szCs w:val="14"/>
                <w:color w:val="auto"/>
              </w:rPr>
              <w:t>Unvested at December 31, 2020</w:t>
            </w:r>
          </w:p>
        </w:tc>
        <w:tc>
          <w:tcPr>
            <w:tcW w:w="1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w w:val="93"/>
              </w:rPr>
              <w:t>1,933,417</w:t>
            </w:r>
          </w:p>
        </w:tc>
        <w:tc>
          <w:tcPr>
            <w:tcW w:w="340" w:type="dxa"/>
            <w:vAlign w:val="bottom"/>
          </w:tcPr>
          <w:p>
            <w:pPr>
              <w:spacing w:after="0"/>
              <w:rPr>
                <w:sz w:val="12"/>
                <w:szCs w:val="12"/>
                <w:color w:val="auto"/>
              </w:rPr>
            </w:pPr>
          </w:p>
        </w:tc>
        <w:tc>
          <w:tcPr>
            <w:tcW w:w="1400" w:type="dxa"/>
            <w:vAlign w:val="bottom"/>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40"/>
              <w:spacing w:after="0" w:line="144" w:lineRule="exact"/>
              <w:rPr>
                <w:sz w:val="20"/>
                <w:szCs w:val="20"/>
                <w:color w:val="auto"/>
              </w:rPr>
            </w:pPr>
            <w:r>
              <w:rPr>
                <w:rFonts w:ascii="Arial" w:cs="Arial" w:eastAsia="Arial" w:hAnsi="Arial"/>
                <w:sz w:val="14"/>
                <w:szCs w:val="14"/>
                <w:color w:val="auto"/>
                <w:w w:val="95"/>
              </w:rPr>
              <w:t>1.44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Vested and exercisable at December 31, 2020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3"/>
              </w:rPr>
              <w:t>6,882,575</w:t>
            </w:r>
          </w:p>
        </w:tc>
        <w:tc>
          <w:tcPr>
            <w:tcW w:w="1400" w:type="dxa"/>
            <w:vAlign w:val="bottom"/>
            <w:shd w:val="clear" w:color="auto" w:fill="CCEEFF"/>
          </w:tcPr>
          <w:p>
            <w:pPr>
              <w:jc w:val="right"/>
              <w:ind w:right="128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5"/>
              </w:rPr>
              <w:t>0.39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Total unrecognized compensation cost related to non-vested stock options as of December 31, 2020 was approximately $2,592,025 and is expected to be recognized within future operating results over a weighted-average period of 2.37 years. As of December 31, 2020, the weighted-average contractual term of the options outstanding was approximately 5.94 years. As of December 31, 2020, the weighted-average contractual term of the vested options was approximately 4.99 years. During the years ended December 31, 2020 and 2019, 861,047 shares and 636,530 shares, respectively, vested.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for the years ended December 31, 2020 and 2019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635,824</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150,773</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2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659,599</w:t>
            </w:r>
          </w:p>
        </w:tc>
        <w:tc>
          <w:tcPr>
            <w:tcW w:w="2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220,615</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20" w:type="dxa"/>
            <w:vAlign w:val="bottom"/>
            <w:gridSpan w:val="2"/>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1,295,423</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371,388</w:t>
            </w:r>
          </w:p>
        </w:tc>
        <w:tc>
          <w:tcPr>
            <w:tcW w:w="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F-64</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4"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(12) Income Taxes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43"/>
        </w:trPr>
        <w:tc>
          <w:tcPr>
            <w:tcW w:w="5180" w:type="dxa"/>
            <w:vAlign w:val="bottom"/>
            <w:gridSpan w:val="2"/>
          </w:tcPr>
          <w:p>
            <w:pPr>
              <w:spacing w:after="0"/>
              <w:rPr>
                <w:sz w:val="20"/>
                <w:szCs w:val="20"/>
                <w:color w:val="auto"/>
              </w:rPr>
            </w:pPr>
            <w:r>
              <w:rPr>
                <w:rFonts w:ascii="Arial" w:cs="Arial" w:eastAsia="Arial" w:hAnsi="Arial"/>
                <w:sz w:val="14"/>
                <w:szCs w:val="14"/>
                <w:color w:val="auto"/>
                <w:w w:val="96"/>
              </w:rPr>
              <w:t>Net deferred tax assets as of December 31, 2020 and 2019 consisted of the following:</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6"/>
        </w:trPr>
        <w:tc>
          <w:tcPr>
            <w:tcW w:w="260" w:type="dxa"/>
            <w:vAlign w:val="bottom"/>
          </w:tcPr>
          <w:p>
            <w:pPr>
              <w:spacing w:after="0"/>
              <w:rPr>
                <w:sz w:val="24"/>
                <w:szCs w:val="24"/>
                <w:color w:val="auto"/>
              </w:rPr>
            </w:pPr>
          </w:p>
        </w:tc>
        <w:tc>
          <w:tcPr>
            <w:tcW w:w="49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24"/>
                <w:szCs w:val="24"/>
                <w:color w:val="auto"/>
              </w:rPr>
            </w:pPr>
          </w:p>
        </w:tc>
      </w:tr>
      <w:tr>
        <w:trPr>
          <w:trHeight w:val="172"/>
        </w:trPr>
        <w:tc>
          <w:tcPr>
            <w:tcW w:w="2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Net operating loss carryforwards</w:t>
            </w:r>
          </w:p>
        </w:tc>
        <w:tc>
          <w:tcPr>
            <w:tcW w:w="5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2,659,082</w:t>
            </w:r>
          </w:p>
        </w:tc>
        <w:tc>
          <w:tcPr>
            <w:tcW w:w="26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6,438,409</w:t>
            </w:r>
          </w:p>
        </w:tc>
        <w:tc>
          <w:tcPr>
            <w:tcW w:w="4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600,592</w:t>
            </w: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328,553</w:t>
            </w:r>
          </w:p>
        </w:tc>
        <w:tc>
          <w:tcPr>
            <w:tcW w:w="40" w:type="dxa"/>
            <w:vAlign w:val="bottom"/>
            <w:shd w:val="clear" w:color="auto" w:fill="CCEEFF"/>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Vacation accrual</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84,553</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45,128</w:t>
            </w:r>
          </w:p>
        </w:tc>
        <w:tc>
          <w:tcPr>
            <w:tcW w:w="40" w:type="dxa"/>
            <w:vAlign w:val="bottom"/>
          </w:tcPr>
          <w:p>
            <w:pPr>
              <w:spacing w:after="0"/>
              <w:rPr>
                <w:sz w:val="14"/>
                <w:szCs w:val="14"/>
                <w:color w:val="auto"/>
              </w:rPr>
            </w:pPr>
          </w:p>
        </w:tc>
      </w:tr>
      <w:tr>
        <w:trPr>
          <w:trHeight w:val="192"/>
        </w:trPr>
        <w:tc>
          <w:tcPr>
            <w:tcW w:w="26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Lease Liability</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727,587</w:t>
            </w: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467,139</w:t>
            </w:r>
          </w:p>
        </w:tc>
        <w:tc>
          <w:tcPr>
            <w:tcW w:w="40" w:type="dxa"/>
            <w:vAlign w:val="bottom"/>
            <w:shd w:val="clear" w:color="auto" w:fill="CCEEFF"/>
          </w:tcPr>
          <w:p>
            <w:pPr>
              <w:spacing w:after="0"/>
              <w:rPr>
                <w:sz w:val="16"/>
                <w:szCs w:val="16"/>
                <w:color w:val="auto"/>
              </w:rPr>
            </w:pPr>
          </w:p>
        </w:tc>
      </w:tr>
      <w:tr>
        <w:trPr>
          <w:trHeight w:val="155"/>
        </w:trPr>
        <w:tc>
          <w:tcPr>
            <w:tcW w:w="260" w:type="dxa"/>
            <w:vAlign w:val="bottom"/>
          </w:tcPr>
          <w:p>
            <w:pPr>
              <w:spacing w:after="0"/>
              <w:rPr>
                <w:sz w:val="13"/>
                <w:szCs w:val="13"/>
                <w:color w:val="auto"/>
              </w:rPr>
            </w:pPr>
          </w:p>
        </w:tc>
        <w:tc>
          <w:tcPr>
            <w:tcW w:w="492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deferred tax assets</w:t>
            </w:r>
          </w:p>
        </w:tc>
        <w:tc>
          <w:tcPr>
            <w:tcW w:w="30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4,071,814</w:t>
            </w:r>
          </w:p>
        </w:tc>
        <w:tc>
          <w:tcPr>
            <w:tcW w:w="260" w:type="dxa"/>
            <w:vAlign w:val="bottom"/>
            <w:tcBorders>
              <w:top w:val="single" w:sz="8" w:color="CCEEFF"/>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7,279,229</w:t>
            </w:r>
          </w:p>
        </w:tc>
        <w:tc>
          <w:tcPr>
            <w:tcW w:w="40" w:type="dxa"/>
            <w:vAlign w:val="bottom"/>
            <w:tcBorders>
              <w:top w:val="single" w:sz="8" w:color="CCEEFF"/>
              <w:bottom w:val="single" w:sz="8" w:color="CCEEFF"/>
            </w:tcBorders>
          </w:tcPr>
          <w:p>
            <w:pPr>
              <w:spacing w:after="0"/>
              <w:rPr>
                <w:sz w:val="13"/>
                <w:szCs w:val="13"/>
                <w:color w:val="auto"/>
              </w:rPr>
            </w:pPr>
          </w:p>
        </w:tc>
      </w:tr>
      <w:tr>
        <w:trPr>
          <w:trHeight w:val="172"/>
        </w:trPr>
        <w:tc>
          <w:tcPr>
            <w:tcW w:w="260" w:type="dxa"/>
            <w:vAlign w:val="bottom"/>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3"/>
        </w:trPr>
        <w:tc>
          <w:tcPr>
            <w:tcW w:w="26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Less valuation allowance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(2,320,958)</w:t>
            </w:r>
          </w:p>
        </w:tc>
        <w:tc>
          <w:tcPr>
            <w:tcW w:w="2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(6,563,244)</w:t>
            </w:r>
          </w:p>
        </w:tc>
      </w:tr>
      <w:tr>
        <w:trPr>
          <w:trHeight w:val="172"/>
        </w:trPr>
        <w:tc>
          <w:tcPr>
            <w:tcW w:w="260" w:type="dxa"/>
            <w:vAlign w:val="bottom"/>
          </w:tcPr>
          <w:p>
            <w:pPr>
              <w:spacing w:after="0"/>
              <w:rPr>
                <w:sz w:val="14"/>
                <w:szCs w:val="14"/>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deferred tax assets after valuation allowance</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1,750,856</w:t>
            </w: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715,985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4"/>
        </w:trPr>
        <w:tc>
          <w:tcPr>
            <w:tcW w:w="2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26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Operating lease Right of Use Asset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641,135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390,962</w:t>
            </w:r>
          </w:p>
        </w:tc>
        <w:tc>
          <w:tcPr>
            <w:tcW w:w="40" w:type="dxa"/>
            <w:vAlign w:val="bottom"/>
          </w:tcPr>
          <w:p>
            <w:pPr>
              <w:spacing w:after="0"/>
              <w:rPr>
                <w:sz w:val="14"/>
                <w:szCs w:val="14"/>
                <w:color w:val="auto"/>
              </w:rPr>
            </w:pPr>
          </w:p>
        </w:tc>
      </w:tr>
      <w:tr>
        <w:trPr>
          <w:trHeight w:val="192"/>
        </w:trPr>
        <w:tc>
          <w:tcPr>
            <w:tcW w:w="26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1,109,721</w:t>
            </w:r>
          </w:p>
        </w:tc>
        <w:tc>
          <w:tcPr>
            <w:tcW w:w="26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325,023</w:t>
            </w:r>
          </w:p>
        </w:tc>
        <w:tc>
          <w:tcPr>
            <w:tcW w:w="40" w:type="dxa"/>
            <w:vAlign w:val="bottom"/>
            <w:shd w:val="clear" w:color="auto" w:fill="CCEEFF"/>
          </w:tcPr>
          <w:p>
            <w:pPr>
              <w:spacing w:after="0"/>
              <w:rPr>
                <w:sz w:val="16"/>
                <w:szCs w:val="16"/>
                <w:color w:val="auto"/>
              </w:rPr>
            </w:pPr>
          </w:p>
        </w:tc>
      </w:tr>
      <w:tr>
        <w:trPr>
          <w:trHeight w:val="155"/>
        </w:trPr>
        <w:tc>
          <w:tcPr>
            <w:tcW w:w="260" w:type="dxa"/>
            <w:vAlign w:val="bottom"/>
          </w:tcPr>
          <w:p>
            <w:pPr>
              <w:spacing w:after="0"/>
              <w:rPr>
                <w:sz w:val="13"/>
                <w:szCs w:val="13"/>
                <w:color w:val="auto"/>
              </w:rPr>
            </w:pPr>
          </w:p>
        </w:tc>
        <w:tc>
          <w:tcPr>
            <w:tcW w:w="4920" w:type="dxa"/>
            <w:vAlign w:val="bottom"/>
            <w:tcBorders>
              <w:top w:val="single" w:sz="8" w:color="CCEEFF"/>
              <w:bottom w:val="single" w:sz="8" w:color="CCEEFF"/>
            </w:tcBorders>
          </w:tcPr>
          <w:p>
            <w:pPr>
              <w:spacing w:after="0" w:line="153" w:lineRule="exact"/>
              <w:rPr>
                <w:sz w:val="20"/>
                <w:szCs w:val="20"/>
                <w:color w:val="auto"/>
              </w:rPr>
            </w:pPr>
            <w:r>
              <w:rPr>
                <w:rFonts w:ascii="Arial" w:cs="Arial" w:eastAsia="Arial" w:hAnsi="Arial"/>
                <w:sz w:val="14"/>
                <w:szCs w:val="14"/>
                <w:color w:val="auto"/>
              </w:rPr>
              <w:t>Total deferred tax liabilities</w:t>
            </w:r>
          </w:p>
        </w:tc>
        <w:tc>
          <w:tcPr>
            <w:tcW w:w="300" w:type="dxa"/>
            <w:vAlign w:val="bottom"/>
            <w:tcBorders>
              <w:top w:val="single" w:sz="8" w:color="CCEEFF"/>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1,750,856</w:t>
            </w:r>
          </w:p>
        </w:tc>
        <w:tc>
          <w:tcPr>
            <w:tcW w:w="260" w:type="dxa"/>
            <w:vAlign w:val="bottom"/>
            <w:tcBorders>
              <w:top w:val="single" w:sz="8" w:color="CCEEFF"/>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715,985</w:t>
            </w:r>
          </w:p>
        </w:tc>
        <w:tc>
          <w:tcPr>
            <w:tcW w:w="40" w:type="dxa"/>
            <w:vAlign w:val="bottom"/>
            <w:tcBorders>
              <w:top w:val="single" w:sz="8" w:color="CCEEFF"/>
              <w:bottom w:val="single" w:sz="8" w:color="CCEEFF"/>
            </w:tcBorders>
          </w:tcPr>
          <w:p>
            <w:pPr>
              <w:spacing w:after="0"/>
              <w:rPr>
                <w:sz w:val="13"/>
                <w:szCs w:val="13"/>
                <w:color w:val="auto"/>
              </w:rPr>
            </w:pPr>
          </w:p>
        </w:tc>
      </w:tr>
      <w:tr>
        <w:trPr>
          <w:trHeight w:val="172"/>
        </w:trPr>
        <w:tc>
          <w:tcPr>
            <w:tcW w:w="260" w:type="dxa"/>
            <w:vAlign w:val="bottom"/>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Net deferred tax asset/(liability)</w:t>
            </w:r>
          </w:p>
        </w:tc>
        <w:tc>
          <w:tcPr>
            <w:tcW w:w="5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21"/>
        </w:trPr>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reconciliation between the Corporation’s effective tax rate and the statutory tax rate of 21% includes the following significant items: changes in the valuation allowance and permanent items including meals and entertainment. The rate reconciliation was as follows:</w:t>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3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172"/>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Rate reconciliation:</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4"/>
                <w:szCs w:val="14"/>
                <w:color w:val="auto"/>
              </w:rPr>
              <w:t>Net income before tax</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20,117,773</w:t>
            </w:r>
          </w:p>
        </w:tc>
        <w:tc>
          <w:tcPr>
            <w:tcW w:w="160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(8,986,289)</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3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780" w:type="dxa"/>
            <w:vAlign w:val="bottom"/>
          </w:tcPr>
          <w:p>
            <w:pPr>
              <w:spacing w:after="0"/>
              <w:rPr>
                <w:sz w:val="20"/>
                <w:szCs w:val="20"/>
                <w:color w:val="auto"/>
              </w:rPr>
            </w:pPr>
            <w:r>
              <w:rPr>
                <w:rFonts w:ascii="Arial" w:cs="Arial" w:eastAsia="Arial" w:hAnsi="Arial"/>
                <w:sz w:val="14"/>
                <w:szCs w:val="14"/>
                <w:color w:val="auto"/>
              </w:rPr>
              <w:t>Federal income tax at statutory rate</w:t>
            </w:r>
          </w:p>
        </w:tc>
        <w:tc>
          <w:tcPr>
            <w:tcW w:w="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4,224,732</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21.00%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(1,887,121)</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21.00%</w:t>
            </w:r>
          </w:p>
        </w:tc>
      </w:tr>
      <w:tr>
        <w:trPr>
          <w:trHeight w:val="172"/>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Permanent items</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918</w:t>
            </w:r>
          </w:p>
        </w:tc>
        <w:tc>
          <w:tcPr>
            <w:tcW w:w="1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2,144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-0.02%</w:t>
            </w:r>
          </w:p>
        </w:tc>
      </w:tr>
      <w:tr>
        <w:trPr>
          <w:trHeight w:val="172"/>
        </w:trPr>
        <w:tc>
          <w:tcPr>
            <w:tcW w:w="3780" w:type="dxa"/>
            <w:vAlign w:val="bottom"/>
          </w:tcPr>
          <w:p>
            <w:pPr>
              <w:spacing w:after="0"/>
              <w:rPr>
                <w:sz w:val="20"/>
                <w:szCs w:val="20"/>
                <w:color w:val="auto"/>
              </w:rPr>
            </w:pPr>
            <w:r>
              <w:rPr>
                <w:rFonts w:ascii="Arial" w:cs="Arial" w:eastAsia="Arial" w:hAnsi="Arial"/>
                <w:sz w:val="14"/>
                <w:szCs w:val="14"/>
                <w:color w:val="auto"/>
              </w:rPr>
              <w:t>Valuation allowance</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(4,225,651)</w:t>
            </w:r>
          </w:p>
        </w:tc>
        <w:tc>
          <w:tcPr>
            <w:tcW w:w="1360" w:type="dxa"/>
            <w:vAlign w:val="bottom"/>
            <w:gridSpan w:val="2"/>
          </w:tcPr>
          <w:p>
            <w:pPr>
              <w:jc w:val="right"/>
              <w:ind w:right="108"/>
              <w:spacing w:after="0"/>
              <w:rPr>
                <w:sz w:val="20"/>
                <w:szCs w:val="20"/>
                <w:color w:val="auto"/>
              </w:rPr>
            </w:pPr>
            <w:r>
              <w:rPr>
                <w:rFonts w:ascii="Arial" w:cs="Arial" w:eastAsia="Arial" w:hAnsi="Arial"/>
                <w:sz w:val="14"/>
                <w:szCs w:val="14"/>
                <w:color w:val="auto"/>
              </w:rPr>
              <w:t>-21.00%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1,884,977</w:t>
            </w:r>
          </w:p>
        </w:tc>
        <w:tc>
          <w:tcPr>
            <w:tcW w:w="260" w:type="dxa"/>
            <w:vAlign w:val="bottom"/>
          </w:tcPr>
          <w:p>
            <w:pPr>
              <w:spacing w:after="0"/>
              <w:rPr>
                <w:sz w:val="14"/>
                <w:szCs w:val="1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auto"/>
              </w:rPr>
              <w:t>-20.98%</w:t>
            </w:r>
          </w:p>
        </w:tc>
      </w:tr>
      <w:tr>
        <w:trPr>
          <w:trHeight w:val="192"/>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w:t>
            </w:r>
          </w:p>
        </w:tc>
        <w:tc>
          <w:tcPr>
            <w:tcW w:w="1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0.00%</w:t>
            </w:r>
          </w:p>
        </w:tc>
      </w:tr>
      <w:tr>
        <w:trPr>
          <w:trHeight w:val="153"/>
        </w:trPr>
        <w:tc>
          <w:tcPr>
            <w:tcW w:w="37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spacing w:after="0"/>
              <w:rPr>
                <w:sz w:val="13"/>
                <w:szCs w:val="13"/>
                <w:color w:val="auto"/>
              </w:rPr>
            </w:pP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0.00</w:t>
            </w:r>
          </w:p>
        </w:tc>
        <w:tc>
          <w:tcPr>
            <w:tcW w:w="300" w:type="dxa"/>
            <w:vAlign w:val="bottom"/>
            <w:tcBorders>
              <w:top w:val="single" w:sz="8" w:color="CCEEFF"/>
            </w:tcBorders>
          </w:tcPr>
          <w:p>
            <w:pPr>
              <w:jc w:val="right"/>
              <w:ind w:right="108"/>
              <w:spacing w:after="0" w:line="153" w:lineRule="exact"/>
              <w:rPr>
                <w:sz w:val="20"/>
                <w:szCs w:val="20"/>
                <w:color w:val="auto"/>
              </w:rPr>
            </w:pPr>
            <w:r>
              <w:rPr>
                <w:rFonts w:ascii="Arial" w:cs="Arial" w:eastAsia="Arial" w:hAnsi="Arial"/>
                <w:sz w:val="14"/>
                <w:szCs w:val="14"/>
                <w:color w:val="auto"/>
                <w:w w:val="79"/>
              </w:rPr>
              <w:t>%</w:t>
            </w:r>
          </w:p>
        </w:tc>
        <w:tc>
          <w:tcPr>
            <w:tcW w:w="240" w:type="dxa"/>
            <w:vAlign w:val="bottom"/>
            <w:tcBorders>
              <w:top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spacing w:after="0"/>
              <w:rPr>
                <w:sz w:val="13"/>
                <w:szCs w:val="13"/>
                <w:color w:val="auto"/>
              </w:rPr>
            </w:pP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0.00</w:t>
            </w:r>
          </w:p>
        </w:tc>
        <w:tc>
          <w:tcPr>
            <w:tcW w:w="140" w:type="dxa"/>
            <w:vAlign w:val="bottom"/>
            <w:tcBorders>
              <w:top w:val="single" w:sz="8" w:color="CCEEFF"/>
            </w:tcBorders>
            <w:gridSpan w:val="2"/>
          </w:tcPr>
          <w:p>
            <w:pPr>
              <w:jc w:val="right"/>
              <w:ind w:right="20"/>
              <w:spacing w:after="0" w:line="153" w:lineRule="exact"/>
              <w:rPr>
                <w:sz w:val="20"/>
                <w:szCs w:val="20"/>
                <w:color w:val="auto"/>
              </w:rPr>
            </w:pPr>
            <w:r>
              <w:rPr>
                <w:rFonts w:ascii="Arial" w:cs="Arial" w:eastAsia="Arial" w:hAnsi="Arial"/>
                <w:sz w:val="14"/>
                <w:szCs w:val="14"/>
                <w:color w:val="auto"/>
                <w:w w:val="79"/>
              </w:rPr>
              <w:t>%</w:t>
            </w:r>
          </w:p>
        </w:tc>
      </w:tr>
      <w:tr>
        <w:trPr>
          <w:trHeight w:val="20"/>
        </w:trPr>
        <w:tc>
          <w:tcPr>
            <w:tcW w:w="3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reversal of deferred tax liabilities, projected future taxable income, and tax planning strategies in making this assessment. Based upon the level of historical losses and the uncertainty of future taxable income over the periods which the Corporation will realize the benefits of its net deferred tax assets, management believes it is more likely than not that the Corporation will not fully realize the benefits on the balance of its net deferred tax asset and, accordingly, the Corporation has established a valuation allowance on it net deferred tax assets. The valuation allowance decreased by approximately $4,226,000 and increased by $1,885,000, respectively, for the years ended December 31, 2020 and December 31, 2019.</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of December 31, 2020, the Corporation had approximately $12,662,000 of federal net operating losses, which were generated after December 31, 2017 and can be carried forward indefinitely under the Tax Cuts and Jobs Act and may generally be used to offset up to 80% of future taxable income.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Corporation has not completed a study to determine whether any ownership change per the provisions of Section 382 of the Internal Revenue Code of 1986, as amended, as well as similar state provisions, has occurred. Utilization of the Corporation’s net operating loss carryforwards may be subject to substantial annual limitation due to ownership changes that may have occurred or that could occur in the future. These ownership changes may limit the amount of the net operating loss carryover that can be utilized annually to offset future taxable income. In general, an “ownership change”, as defined by Section 382 of the Code results from a transaction or series of transactions over a three-year period resulting in an ownership change of more than 50 percentage points of the outstanding stock of a company by certain stockholders.</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U.S. GAAP provides that the tax effects from uncertain tax positions can be recognized in the consolidated financial statements only if the position is more likely than not of being sustained on audit, based on the technical merits of the position. As of December 31, 2020 and December 31, 2019, there were no uncertain tax provisions. There was no interest or penalties related to income taxes for the years ended December 31, 2020 and 2019, and there was no accrued interest or penalties associated with uncertain tax positions as of December 31, 2020 and December 31, 2019.</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Corporation files tax returns as prescribed by the laws of the jurisdictions in which it operates. In the normal course of business, the Corporation is subject to examination by federal and state jurisdictions, where applicable. The Corporation’s tax years are still open under the statute from 2017 to present. However, to the extent allowed by law, the taxing authorities may have the right to examine the period from 2015 through 2020 where net operating losses were generated and carried forward and make adjustments to the amount of the net operating loss carryforward amount. The Corporation is not currently under examination by federal or state jurisdictions.</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As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on March 27, 2020, the CARES Act was enacted in response to the COVID-19 pandemic. It was determined the CARES Act did not materially impact the Corporation’s tax provision as of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(13) Related Party Transactions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Corporation paid consulting fees to a board member, Christine Hamilton, who is also an owner, of $25,000 and $33,527, respectively, for the years ended December 31, 2020 and 2019. As of December 31, 2020 and 2019, there was $6,250 (both years) in accrued board member fees for this related party.</w:t>
      </w:r>
    </w:p>
    <w:p>
      <w:pPr>
        <w:spacing w:after="0" w:line="131" w:lineRule="exact"/>
        <w:rPr>
          <w:sz w:val="20"/>
          <w:szCs w:val="20"/>
          <w:color w:val="auto"/>
        </w:rPr>
      </w:pPr>
    </w:p>
    <w:p>
      <w:pPr>
        <w:jc w:val="both"/>
        <w:spacing w:after="0" w:line="326" w:lineRule="auto"/>
        <w:rPr>
          <w:sz w:val="20"/>
          <w:szCs w:val="20"/>
          <w:color w:val="auto"/>
        </w:rPr>
      </w:pPr>
      <w:r>
        <w:rPr>
          <w:rFonts w:ascii="Arial" w:cs="Arial" w:eastAsia="Arial" w:hAnsi="Arial"/>
          <w:sz w:val="13"/>
          <w:szCs w:val="13"/>
          <w:color w:val="auto"/>
        </w:rPr>
        <w:t>On an as needed basis, the Corporation engages Network Plus, LLC (owner is the spouse of an employee) for IT assistance and computer setups. There was approximately $20,000 and $40,000 in expenses, respectively, with this vendor in 2020 and 2019. The spouse became an employee of the Corporation in July 2020, so there will be no further activity with this vendor going forward.</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 xml:space="preserve">As discussed in Note 7, </w:t>
      </w:r>
      <w:r>
        <w:rPr>
          <w:rFonts w:ascii="Arial" w:cs="Arial" w:eastAsia="Arial" w:hAnsi="Arial"/>
          <w:sz w:val="14"/>
          <w:szCs w:val="14"/>
          <w:i w:val="1"/>
          <w:iCs w:val="1"/>
          <w:color w:val="auto"/>
        </w:rPr>
        <w:t>Leases</w:t>
      </w:r>
      <w:r>
        <w:rPr>
          <w:rFonts w:ascii="Arial" w:cs="Arial" w:eastAsia="Arial" w:hAnsi="Arial"/>
          <w:sz w:val="14"/>
          <w:szCs w:val="14"/>
          <w:color w:val="auto"/>
        </w:rPr>
        <w:t>, the Corporation has a finance lease for the animal facility with Dakota Ag Properties. Dakota Ag Investments (part of Dakota Ag Properties) is a shareholder and owner of the Corporation.</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As discussed in Note 7, </w:t>
      </w:r>
      <w:r>
        <w:rPr>
          <w:rFonts w:ascii="Arial" w:cs="Arial" w:eastAsia="Arial" w:hAnsi="Arial"/>
          <w:sz w:val="14"/>
          <w:szCs w:val="14"/>
          <w:i w:val="1"/>
          <w:iCs w:val="1"/>
          <w:color w:val="auto"/>
        </w:rPr>
        <w:t>Leases</w:t>
      </w:r>
      <w:r>
        <w:rPr>
          <w:rFonts w:ascii="Arial" w:cs="Arial" w:eastAsia="Arial" w:hAnsi="Arial"/>
          <w:sz w:val="14"/>
          <w:szCs w:val="14"/>
          <w:color w:val="auto"/>
        </w:rPr>
        <w:t>, the Corporation leases laboratory space from Sanford Health (which is a shareholder of the Corporation). Since the Corporation operates out of a building it shares with Sanford Health, the Corporation utilizes Sanford Health’s food services, medical services (shots and exams), and research services, as needed. Not including the lease payments, the combined expense of these services was approximately $152,000 and $190,000, respectively, for the years ended December 31, 2020 and 2019. The Corporation had approximately $10,000 in related party payables with Sanford Health as of December 31, 2020. There were no related party payables as of December 31,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SAB BIOTHERAPEUTICS, INC. AND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60260"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TK Concept was engaged by the Corporation for business consulting in 2019. The owner is a member of the board of directors. There was approximately $42,500 in expense with this vendor in 2019. There were no consulting expenses in 2020.</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As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xml:space="preserve">, on February 24, 2016, the Corporation entered into a loan agreement with CLC for a $3.0 million revolving line of credit secured by a blanket security interest in the assets of the Corporation. The principal owners of CLC are owners, members of the board of directors, and employees of the Corporation. In July 2020, the note payable was paid in full. Please refer to Note 9,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(14) Employee Benefit Plan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Corporation sponsors a defined contribution retirement plan. All the Corporation’s employees are eligible to be enrolled in the employer-sponsored contributory retirement savings plan, which include features under Section 401(k) of the Internal Revenue Code of 1986, as amended, and provides for Corporation matching contributions. The Corporation’s contributions to the plan are determined by its Board of Directors, subject to certain minimum requirements specified in the plan. For the years ended December 31, 2020 and December 31, 2019 the Corporation made matching contributions of 100% on 3% of the employee contributions, with an additional 50% match on the next 2% of employee contributions, resulting in approximately $188,000 and $139,000, respectively, of matching contributions paid by the Corporation.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(15) 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is not involved in any legal proceedings, investigations and claims which are expected to have a material adverse effect on its financial condition, results of operations or liquidity.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(16) Joint Development Agreement</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In June 2019, the Corporation entered into a joint development agreement with the University of South Dakota Research Park, Inc. (“USDRP”) for the construction of a multi-tenant office building and a manufacturing building. Pursuant to the agreement, the Corporation also entered into a lease agreement for 41,195 square feet of leasable area located in the building. The lease will commence upon completion of the building for an initial term of 12 years at a monthly payment of approximately $118,000. Aurochs, LLC, a wholly owned subsidiary, was founded to manage the construction funds for this project. All pre-construction costs up to a budgeted $2.7 million were paid directly by the Corporation and reimbursed by USDRP. As of December 31, 2019, the Corporation had approximately $1.14 million in pre-construction costs recorded as a receivable from USDRP, with approximately $1.14 million in related payables for these pre-construction costs. As of December 31, 2020, USDRP has spent approximately $2.12 million in design costs for this facility, with approximately $580,000 of the $2.7 million budget remaining. There were no receivables or payables for this project as of December 31, 2020. USDRP and the Corporation intend to secure outside funding for all expenses incurred after the pre-construction phase. If funding cannot be secured to finance the construction of this facility, the Corporation will not be required to refund any of the design costs incurred to date. Due to the work around SARS-2 and the JPEO contract (please refer to Note 4, </w:t>
      </w:r>
      <w:r>
        <w:rPr>
          <w:rFonts w:ascii="Arial" w:cs="Arial" w:eastAsia="Arial" w:hAnsi="Arial"/>
          <w:sz w:val="13"/>
          <w:szCs w:val="13"/>
          <w:i w:val="1"/>
          <w:iCs w:val="1"/>
          <w:color w:val="auto"/>
        </w:rPr>
        <w:t>Revenue</w:t>
      </w:r>
      <w:r>
        <w:rPr>
          <w:rFonts w:ascii="Arial" w:cs="Arial" w:eastAsia="Arial" w:hAnsi="Arial"/>
          <w:sz w:val="13"/>
          <w:szCs w:val="13"/>
          <w:color w:val="auto"/>
        </w:rPr>
        <w:t>, for additional information), this project is on hold until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(17) Subsequent Events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preparation of the Corporation’s consolidated financial statements, the Corporation completed an evaluation of the impact of subsequent events through June 17, 2021, which represents the date these consolidated financial statements were available for issuance.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In February 2021, the Corporation submitted a forgiveness application related to its PPP Loan. In March 2021, the SBA approved the forgiveness of the PPP Loan, plus accrued interest.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 April 2021, the Corporation entered into agreements that included other commitments of $4.5 million.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4"/>
          <w:szCs w:val="14"/>
          <w:b w:val="1"/>
          <w:bCs w:val="1"/>
          <w:color w:val="auto"/>
        </w:rPr>
        <w:t>PART II</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186" w:lineRule="exact"/>
        <w:rPr>
          <w:sz w:val="20"/>
          <w:szCs w:val="20"/>
          <w:color w:val="auto"/>
        </w:rPr>
      </w:pPr>
    </w:p>
    <w:p>
      <w:pPr>
        <w:ind w:firstLine="258"/>
        <w:spacing w:after="0" w:line="286" w:lineRule="auto"/>
        <w:rPr>
          <w:sz w:val="20"/>
          <w:szCs w:val="20"/>
          <w:color w:val="auto"/>
        </w:rPr>
      </w:pPr>
      <w:r>
        <w:rPr>
          <w:rFonts w:ascii="Arial" w:cs="Arial" w:eastAsia="Arial" w:hAnsi="Arial"/>
          <w:sz w:val="14"/>
          <w:szCs w:val="14"/>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ectPr>
          <w:pgSz w:w="11900" w:h="16838" w:orient="portrait"/>
          <w:cols w:equalWidth="0" w:num="1">
            <w:col w:w="11280"/>
          </w:cols>
          <w:pgMar w:left="300" w:top="554" w:right="31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60260" cy="1225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1225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Accountants’ fees and expenses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60260" cy="1295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1791970" cy="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91970" cy="13335"/>
                    </a:xfrm>
                    <a:prstGeom prst="rect">
                      <a:avLst/>
                    </a:prstGeom>
                    <a:noFill/>
                  </pic:spPr>
                </pic:pic>
              </a:graphicData>
            </a:graphic>
          </wp:anchor>
        </w:drawing>
      </w:r>
    </w:p>
    <w:p>
      <w:pPr>
        <w:spacing w:after="0" w:line="388" w:lineRule="exact"/>
        <w:rPr>
          <w:sz w:val="20"/>
          <w:szCs w:val="20"/>
          <w:color w:val="auto"/>
        </w:rPr>
      </w:pPr>
    </w:p>
    <w:p>
      <w:pPr>
        <w:ind w:left="260" w:hanging="254"/>
        <w:spacing w:after="0"/>
        <w:tabs>
          <w:tab w:leader="none" w:pos="2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These fees are calculated based on the securities offered and the number of issuances and accordingly cannot be determined at this time.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524"/>
        <w:spacing w:after="0"/>
        <w:rPr>
          <w:sz w:val="20"/>
          <w:szCs w:val="20"/>
          <w:color w:val="auto"/>
        </w:rPr>
      </w:pPr>
      <w:r>
        <w:rPr>
          <w:rFonts w:ascii="Arial" w:cs="Arial" w:eastAsia="Arial" w:hAnsi="Arial"/>
          <w:sz w:val="14"/>
          <w:szCs w:val="14"/>
          <w:b w:val="1"/>
          <w:bCs w:val="1"/>
          <w:color w:val="auto"/>
        </w:rPr>
        <w:t>Amount</w:t>
      </w:r>
    </w:p>
    <w:p>
      <w:pPr>
        <w:spacing w:after="0" w:line="36" w:lineRule="exact"/>
        <w:rPr>
          <w:sz w:val="20"/>
          <w:szCs w:val="20"/>
          <w:color w:val="auto"/>
        </w:rPr>
      </w:pPr>
    </w:p>
    <w:p>
      <w:pPr>
        <w:ind w:left="1004" w:hanging="1004"/>
        <w:spacing w:after="0"/>
        <w:tabs>
          <w:tab w:leader="none" w:pos="1004" w:val="left"/>
        </w:tabs>
        <w:numPr>
          <w:ilvl w:val="0"/>
          <w:numId w:val="73"/>
        </w:numPr>
        <w:rPr>
          <w:rFonts w:ascii="Arial" w:cs="Arial" w:eastAsia="Arial" w:hAnsi="Arial"/>
          <w:sz w:val="12"/>
          <w:szCs w:val="12"/>
          <w:color w:val="auto"/>
        </w:rPr>
      </w:pPr>
      <w:r>
        <w:rPr>
          <w:rFonts w:ascii="Arial" w:cs="Arial" w:eastAsia="Arial" w:hAnsi="Arial"/>
          <w:sz w:val="12"/>
          <w:szCs w:val="12"/>
          <w:color w:val="auto"/>
        </w:rPr>
        <w:t>19,759.53</w:t>
      </w:r>
    </w:p>
    <w:p>
      <w:pPr>
        <w:spacing w:after="0" w:line="43" w:lineRule="exact"/>
        <w:rPr>
          <w:rFonts w:ascii="Arial" w:cs="Arial" w:eastAsia="Arial" w:hAnsi="Arial"/>
          <w:sz w:val="12"/>
          <w:szCs w:val="12"/>
          <w:color w:val="auto"/>
        </w:rPr>
      </w:pPr>
    </w:p>
    <w:p>
      <w:pPr>
        <w:ind w:left="1504"/>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0" w:lineRule="exact"/>
        <w:rPr>
          <w:rFonts w:ascii="Arial" w:cs="Arial" w:eastAsia="Arial" w:hAnsi="Arial"/>
          <w:sz w:val="12"/>
          <w:szCs w:val="12"/>
          <w:color w:val="auto"/>
        </w:rPr>
      </w:pPr>
    </w:p>
    <w:p>
      <w:pPr>
        <w:ind w:left="1504"/>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1" w:lineRule="exact"/>
        <w:rPr>
          <w:rFonts w:ascii="Arial" w:cs="Arial" w:eastAsia="Arial" w:hAnsi="Arial"/>
          <w:sz w:val="12"/>
          <w:szCs w:val="12"/>
          <w:color w:val="auto"/>
        </w:rPr>
      </w:pPr>
    </w:p>
    <w:p>
      <w:pPr>
        <w:ind w:left="1504"/>
        <w:spacing w:after="0"/>
        <w:rPr>
          <w:rFonts w:ascii="Arial" w:cs="Arial" w:eastAsia="Arial" w:hAnsi="Arial"/>
          <w:sz w:val="12"/>
          <w:szCs w:val="12"/>
          <w:color w:val="auto"/>
        </w:rPr>
      </w:pPr>
      <w:r>
        <w:rPr>
          <w:rFonts w:ascii="Arial" w:cs="Arial" w:eastAsia="Arial" w:hAnsi="Arial"/>
          <w:sz w:val="14"/>
          <w:szCs w:val="14"/>
          <w:color w:val="auto"/>
        </w:rPr>
        <w:t>*</w:t>
      </w:r>
    </w:p>
    <w:p>
      <w:pPr>
        <w:spacing w:after="0" w:line="32" w:lineRule="exact"/>
        <w:rPr>
          <w:sz w:val="20"/>
          <w:szCs w:val="20"/>
          <w:color w:val="auto"/>
        </w:rPr>
      </w:pPr>
    </w:p>
    <w:p>
      <w:pPr>
        <w:ind w:left="4"/>
        <w:spacing w:after="0"/>
        <w:tabs>
          <w:tab w:leader="none" w:pos="1484"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9944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94410" cy="6985"/>
                    </a:xfrm>
                    <a:prstGeom prst="rect">
                      <a:avLst/>
                    </a:prstGeom>
                    <a:noFill/>
                  </pic:spPr>
                </pic:pic>
              </a:graphicData>
            </a:graphic>
          </wp:anchor>
        </w:drawing>
      </w:r>
    </w:p>
    <w:p>
      <w:pPr>
        <w:spacing w:after="0" w:line="756" w:lineRule="exact"/>
        <w:rPr>
          <w:sz w:val="20"/>
          <w:szCs w:val="20"/>
          <w:color w:val="auto"/>
        </w:rPr>
      </w:pPr>
    </w:p>
    <w:p>
      <w:pPr>
        <w:sectPr>
          <w:pgSz w:w="11900" w:h="16838" w:orient="portrait"/>
          <w:cols w:equalWidth="0" w:num="2">
            <w:col w:w="8996" w:space="720"/>
            <w:col w:w="1564"/>
          </w:cols>
          <w:pgMar w:left="300" w:top="554" w:right="319" w:bottom="1440" w:gutter="0" w:footer="0" w:header="0"/>
          <w:type w:val="continuous"/>
        </w:sectPr>
      </w:pPr>
    </w:p>
    <w:p>
      <w:pPr>
        <w:spacing w:after="0" w:line="5" w:lineRule="exact"/>
        <w:rPr>
          <w:sz w:val="20"/>
          <w:szCs w:val="20"/>
          <w:color w:val="auto"/>
        </w:rPr>
      </w:pPr>
    </w:p>
    <w:p>
      <w:pPr>
        <w:jc w:val="both"/>
        <w:ind w:firstLine="258"/>
        <w:spacing w:after="0" w:line="271" w:lineRule="auto"/>
        <w:rPr>
          <w:sz w:val="20"/>
          <w:szCs w:val="20"/>
          <w:color w:val="auto"/>
        </w:rPr>
      </w:pPr>
      <w:r>
        <w:rPr>
          <w:rFonts w:ascii="Arial" w:cs="Arial" w:eastAsia="Arial" w:hAnsi="Arial"/>
          <w:sz w:val="14"/>
          <w:szCs w:val="14"/>
          <w:color w:val="auto"/>
        </w:rPr>
        <w:t>Discounts, concessions, commissions and similar selling expenses attributable to the sale of shares of Class A Common Stock covered by this prospectus will be borne by the selling securityholders. We will pay all expenses (other than discounts, concessions, commissions and similar selling expenses) relating to the registration of the shares with the SEC, as estimated in the table above.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186"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3"/>
          <w:szCs w:val="13"/>
          <w:color w:val="auto"/>
        </w:rPr>
        <w:t>Section 145 of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33"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4"/>
          <w:szCs w:val="14"/>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spacing w:after="0" w:line="148"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4"/>
          <w:szCs w:val="14"/>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We believe that these provisions and agreements are necessary to attract qualified directors.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type w:val="continuous"/>
        </w:sectPr>
      </w:pPr>
    </w:p>
    <w:bookmarkStart w:id="181" w:name="page182"/>
    <w:bookmarkEnd w:id="181"/>
    <w:p>
      <w:pPr>
        <w:jc w:val="both"/>
        <w:ind w:firstLine="258"/>
        <w:spacing w:after="0" w:line="301" w:lineRule="auto"/>
        <w:rPr>
          <w:sz w:val="20"/>
          <w:szCs w:val="20"/>
          <w:color w:val="auto"/>
        </w:rPr>
      </w:pPr>
      <w:r>
        <w:rPr>
          <w:rFonts w:ascii="Arial" w:cs="Arial" w:eastAsia="Arial" w:hAnsi="Arial"/>
          <w:sz w:val="13"/>
          <w:szCs w:val="13"/>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list sets forth information regarding all unregistered securities sold by us since January 1, 2018:</w:t>
      </w:r>
    </w:p>
    <w:p>
      <w:pPr>
        <w:spacing w:after="0" w:line="182" w:lineRule="exact"/>
        <w:rPr>
          <w:sz w:val="20"/>
          <w:szCs w:val="20"/>
          <w:color w:val="auto"/>
        </w:rPr>
      </w:pPr>
    </w:p>
    <w:p>
      <w:pPr>
        <w:ind w:left="780" w:hanging="259"/>
        <w:spacing w:after="0"/>
        <w:tabs>
          <w:tab w:leader="none" w:pos="7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On November 12, 2020, BCYP issued 2,156,250 shares of BCYP common stock to the Sponsor for $25,000 in cash, or approximately $0.012 per share, in connection with formation.</w:t>
      </w:r>
    </w:p>
    <w:p>
      <w:pPr>
        <w:spacing w:after="0" w:line="193" w:lineRule="exact"/>
        <w:rPr>
          <w:rFonts w:ascii="Arial" w:cs="Arial" w:eastAsia="Arial" w:hAnsi="Arial"/>
          <w:sz w:val="13"/>
          <w:szCs w:val="13"/>
          <w:color w:val="auto"/>
        </w:rPr>
      </w:pPr>
    </w:p>
    <w:p>
      <w:pPr>
        <w:ind w:left="780" w:hanging="259"/>
        <w:spacing w:after="0" w:line="286" w:lineRule="auto"/>
        <w:tabs>
          <w:tab w:leader="none" w:pos="7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December 7, 2020, the Sponsor forfeited 161,719 shares of BCYP common stock to BCYP and Ladenburg and certain of its employees purchased an aggregate of 161,719 shares of BCYP common stock from BCYP at an average purchase price of approximately $0.012 per share, for an aggregate purchase price of $1,875.</w:t>
      </w:r>
    </w:p>
    <w:p>
      <w:pPr>
        <w:spacing w:after="0" w:line="131" w:lineRule="exact"/>
        <w:rPr>
          <w:rFonts w:ascii="Arial" w:cs="Arial" w:eastAsia="Arial" w:hAnsi="Arial"/>
          <w:sz w:val="14"/>
          <w:szCs w:val="14"/>
          <w:color w:val="auto"/>
        </w:rPr>
      </w:pPr>
    </w:p>
    <w:p>
      <w:pPr>
        <w:jc w:val="both"/>
        <w:ind w:left="780" w:hanging="259"/>
        <w:spacing w:after="0" w:line="301" w:lineRule="auto"/>
        <w:tabs>
          <w:tab w:leader="none" w:pos="7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On January 4, 2021, the Sponsor forfeited 28,750 shares of BCYP common stock to BCYP and Ladenburg and certain of its employees purchased from an aggregate of 28,750 shares of BCYP common stock at an average purchase price of approximately $0.008 per share, for an aggregate purchase price of $230. Following the 1/3 common stock dividend effected January 3, 2021 (as described herein), Ladenburg and certain of its employees then held an aggregate of 244,375 shares of BCYP common stock.</w:t>
      </w:r>
    </w:p>
    <w:p>
      <w:pPr>
        <w:spacing w:after="0" w:line="124" w:lineRule="exact"/>
        <w:rPr>
          <w:rFonts w:ascii="Arial" w:cs="Arial" w:eastAsia="Arial" w:hAnsi="Arial"/>
          <w:sz w:val="13"/>
          <w:szCs w:val="13"/>
          <w:color w:val="auto"/>
        </w:rPr>
      </w:pPr>
    </w:p>
    <w:p>
      <w:pPr>
        <w:ind w:left="780" w:hanging="259"/>
        <w:spacing w:after="0" w:line="326" w:lineRule="auto"/>
        <w:tabs>
          <w:tab w:leader="none" w:pos="7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Simultaneously with the closing of the BCYP IPO, the Sponsor purchased an aggregate of 417,200 BCYP units, at a price of $10.00 per BCYP unit, for an aggregate purchase price of $4,172,000, in a private placement. A portion of the proceeds from the private placement was added to the proceeds from the BCYP IPO held in the Trust.</w:t>
      </w:r>
    </w:p>
    <w:p>
      <w:pPr>
        <w:spacing w:after="0" w:line="108" w:lineRule="exact"/>
        <w:rPr>
          <w:rFonts w:ascii="Arial" w:cs="Arial" w:eastAsia="Arial" w:hAnsi="Arial"/>
          <w:sz w:val="13"/>
          <w:szCs w:val="13"/>
          <w:color w:val="auto"/>
        </w:rPr>
      </w:pPr>
    </w:p>
    <w:p>
      <w:pPr>
        <w:jc w:val="both"/>
        <w:ind w:left="780" w:hanging="259"/>
        <w:spacing w:after="0" w:line="262" w:lineRule="auto"/>
        <w:tabs>
          <w:tab w:leader="none" w:pos="7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accordance with the terms and subject to the conditions of the Business Combination Agreement, at the Effective Time, (i) each share of common stock and preferred stock of OLD SAB outstanding as of immediately prior to the Effective Time was exchanged for shares of Common Stock based on Equity Value and a conversion rate of $10.10; (ii) each outstanding vested and unvested option to purchase shares of OLD SAB common stock was exchanged for a comparable option to purchase Common Stock, based on the Equity Value and a conversion rate of $10.10; and (iii) holders of vested options to purchase shares of OLD SAB common stock received, in the aggregate, 1,507,124 Earnout RSUs related to shares of Common Stock. Additionally, holders of OLD SAB common stock and preferred stock are entitled to receive their pro rata share of an aggregate of 12,000,000 Earnout Shares, which will be released if certain conditions are met within Earnout Period.</w:t>
      </w:r>
    </w:p>
    <w:p>
      <w:pPr>
        <w:spacing w:after="0" w:line="147" w:lineRule="exact"/>
        <w:rPr>
          <w:rFonts w:ascii="Arial" w:cs="Arial" w:eastAsia="Arial" w:hAnsi="Arial"/>
          <w:sz w:val="14"/>
          <w:szCs w:val="14"/>
          <w:color w:val="auto"/>
        </w:rPr>
      </w:pPr>
    </w:p>
    <w:p>
      <w:pPr>
        <w:ind w:left="780" w:hanging="259"/>
        <w:spacing w:after="0"/>
        <w:tabs>
          <w:tab w:leader="none" w:pos="7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On the Closing Date, BCYP issued 247,525 shares of common stock to Chardan, as fees for their service as Merger and Acquisition Advisor and Capital Markets Advisor.</w:t>
      </w:r>
    </w:p>
    <w:p>
      <w:pPr>
        <w:spacing w:after="0" w:line="194" w:lineRule="exact"/>
        <w:rPr>
          <w:sz w:val="20"/>
          <w:szCs w:val="20"/>
          <w:color w:val="auto"/>
        </w:rPr>
      </w:pPr>
    </w:p>
    <w:p>
      <w:pPr>
        <w:jc w:val="both"/>
        <w:ind w:firstLine="258"/>
        <w:spacing w:after="0" w:line="262"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 Exhibits.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exhibits listed below are filed as part of this registration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9"/>
              </w:rPr>
              <w:t>Incorporated by Reference</w:t>
            </w:r>
          </w:p>
        </w:tc>
        <w:tc>
          <w:tcPr>
            <w:tcW w:w="1740" w:type="dxa"/>
            <w:vAlign w:val="bottom"/>
            <w:tcBorders>
              <w:bottom w:val="single" w:sz="8" w:color="auto"/>
            </w:tcBorders>
          </w:tcPr>
          <w:p>
            <w:pPr>
              <w:spacing w:after="0"/>
              <w:rPr>
                <w:sz w:val="16"/>
                <w:szCs w:val="16"/>
                <w:color w:val="auto"/>
              </w:rPr>
            </w:pPr>
          </w:p>
        </w:tc>
      </w:tr>
      <w:tr>
        <w:trPr>
          <w:trHeight w:val="157"/>
        </w:trPr>
        <w:tc>
          <w:tcPr>
            <w:tcW w:w="8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0"/>
              </w:rPr>
              <w:t>Schedule/</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8"/>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29"/>
          </w:tcPr>
          <w:p>
            <w:pPr>
              <w:ind w:left="16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File No.</w:t>
            </w: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ind w:right="228"/>
              <w:spacing w:after="0"/>
              <w:rPr>
                <w:sz w:val="20"/>
                <w:szCs w:val="20"/>
                <w:color w:val="auto"/>
              </w:rPr>
            </w:pPr>
            <w:r>
              <w:rPr>
                <w:rFonts w:ascii="Arial" w:cs="Arial" w:eastAsia="Arial" w:hAnsi="Arial"/>
                <w:sz w:val="14"/>
                <w:szCs w:val="14"/>
                <w:b w:val="1"/>
                <w:bCs w:val="1"/>
                <w:color w:val="auto"/>
                <w:w w:val="94"/>
              </w:rPr>
              <w:t>Filing Date</w:t>
            </w:r>
          </w:p>
        </w:tc>
      </w:tr>
      <w:tr>
        <w:trPr>
          <w:trHeight w:val="139"/>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4340" w:type="dxa"/>
            <w:vAlign w:val="bottom"/>
            <w:tcBorders>
              <w:top w:val="single" w:sz="8" w:color="auto"/>
              <w:bottom w:val="single" w:sz="8" w:color="0000EE"/>
            </w:tcBorders>
            <w:gridSpan w:val="29"/>
          </w:tcPr>
          <w:p>
            <w:pPr>
              <w:spacing w:after="0" w:line="139" w:lineRule="exact"/>
              <w:rPr>
                <w:rFonts w:ascii="Arial" w:cs="Arial" w:eastAsia="Arial" w:hAnsi="Arial"/>
                <w:sz w:val="14"/>
                <w:szCs w:val="14"/>
                <w:color w:val="0000EE"/>
                <w:w w:val="91"/>
              </w:rPr>
            </w:pPr>
            <w:hyperlink r:id="rId244">
              <w:r>
                <w:rPr>
                  <w:rFonts w:ascii="Arial" w:cs="Arial" w:eastAsia="Arial" w:hAnsi="Arial"/>
                  <w:sz w:val="14"/>
                  <w:szCs w:val="14"/>
                  <w:color w:val="0000EE"/>
                  <w:w w:val="91"/>
                </w:rPr>
                <w:t>Underwriting Agreement dated January 11, 2021 between the Company and</w:t>
              </w:r>
            </w:hyperlink>
          </w:p>
        </w:tc>
        <w:tc>
          <w:tcPr>
            <w:tcW w:w="520" w:type="dxa"/>
            <w:vAlign w:val="bottom"/>
            <w:tcBorders>
              <w:top w:val="single" w:sz="8" w:color="auto"/>
            </w:tcBorders>
            <w:gridSpan w:val="6"/>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rPr>
              <w:t>8-K</w:t>
            </w:r>
          </w:p>
        </w:tc>
        <w:tc>
          <w:tcPr>
            <w:tcW w:w="1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12"/>
                <w:szCs w:val="12"/>
                <w:color w:val="auto"/>
              </w:rPr>
            </w:pPr>
          </w:p>
        </w:tc>
        <w:tc>
          <w:tcPr>
            <w:tcW w:w="7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2"/>
              </w:rPr>
              <w:t>1.1</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center"/>
              <w:ind w:right="208"/>
              <w:spacing w:after="0" w:line="139" w:lineRule="exact"/>
              <w:rPr>
                <w:sz w:val="20"/>
                <w:szCs w:val="20"/>
                <w:color w:val="auto"/>
              </w:rPr>
            </w:pPr>
            <w:r>
              <w:rPr>
                <w:rFonts w:ascii="Arial" w:cs="Arial" w:eastAsia="Arial" w:hAnsi="Arial"/>
                <w:sz w:val="14"/>
                <w:szCs w:val="14"/>
                <w:color w:val="auto"/>
                <w:w w:val="90"/>
              </w:rPr>
              <w:t>January 12,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20" w:type="dxa"/>
            <w:vAlign w:val="bottom"/>
            <w:tcBorders>
              <w:bottom w:val="single" w:sz="8" w:color="0000EE"/>
            </w:tcBorders>
            <w:gridSpan w:val="28"/>
          </w:tcPr>
          <w:p>
            <w:pPr>
              <w:spacing w:after="0" w:line="152" w:lineRule="exact"/>
              <w:rPr>
                <w:rFonts w:ascii="Arial" w:cs="Arial" w:eastAsia="Arial" w:hAnsi="Arial"/>
                <w:sz w:val="14"/>
                <w:szCs w:val="14"/>
                <w:color w:val="0000EE"/>
                <w:w w:val="92"/>
              </w:rPr>
            </w:pPr>
            <w:hyperlink r:id="rId244">
              <w:r>
                <w:rPr>
                  <w:rFonts w:ascii="Arial" w:cs="Arial" w:eastAsia="Arial" w:hAnsi="Arial"/>
                  <w:sz w:val="14"/>
                  <w:szCs w:val="14"/>
                  <w:color w:val="0000EE"/>
                  <w:w w:val="92"/>
                </w:rPr>
                <w:t>Ladenburg Thalmann &amp; Co. Inc., as representatives of the underwriters.</w:t>
              </w:r>
            </w:hyperlink>
          </w:p>
        </w:tc>
        <w:tc>
          <w:tcPr>
            <w:tcW w:w="84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4420" w:type="dxa"/>
            <w:vAlign w:val="bottom"/>
            <w:tcBorders>
              <w:bottom w:val="single" w:sz="8" w:color="0000EE"/>
            </w:tcBorders>
            <w:gridSpan w:val="31"/>
          </w:tcPr>
          <w:p>
            <w:pPr>
              <w:spacing w:after="0"/>
              <w:rPr>
                <w:rFonts w:ascii="Arial" w:cs="Arial" w:eastAsia="Arial" w:hAnsi="Arial"/>
                <w:sz w:val="14"/>
                <w:szCs w:val="14"/>
                <w:color w:val="0000EE"/>
                <w:w w:val="91"/>
              </w:rPr>
            </w:pPr>
            <w:hyperlink r:id="rId245">
              <w:r>
                <w:rPr>
                  <w:rFonts w:ascii="Arial" w:cs="Arial" w:eastAsia="Arial" w:hAnsi="Arial"/>
                  <w:sz w:val="14"/>
                  <w:szCs w:val="14"/>
                  <w:color w:val="0000EE"/>
                  <w:w w:val="91"/>
                </w:rPr>
                <w:t>Agreement and Plan of Merger, dated as of June 21, 2021, by and among Big</w:t>
              </w:r>
            </w:hyperlink>
          </w:p>
        </w:tc>
        <w:tc>
          <w:tcPr>
            <w:tcW w:w="540" w:type="dxa"/>
            <w:vAlign w:val="bottom"/>
            <w:gridSpan w:val="6"/>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tcBorders>
              <w:bottom w:val="single" w:sz="8" w:color="0000EE"/>
            </w:tcBorders>
            <w:gridSpan w:val="34"/>
          </w:tcPr>
          <w:p>
            <w:pPr>
              <w:spacing w:after="0" w:line="152" w:lineRule="exact"/>
              <w:rPr>
                <w:rFonts w:ascii="Arial" w:cs="Arial" w:eastAsia="Arial" w:hAnsi="Arial"/>
                <w:sz w:val="14"/>
                <w:szCs w:val="14"/>
                <w:color w:val="0000EE"/>
                <w:w w:val="93"/>
              </w:rPr>
            </w:pPr>
            <w:hyperlink r:id="rId245">
              <w:r>
                <w:rPr>
                  <w:rFonts w:ascii="Arial" w:cs="Arial" w:eastAsia="Arial" w:hAnsi="Arial"/>
                  <w:sz w:val="14"/>
                  <w:szCs w:val="14"/>
                  <w:color w:val="0000EE"/>
                  <w:w w:val="93"/>
                </w:rPr>
                <w:t>Cypress Acquisition Corp., Big Cypress Merger Sub Inc, SAB Biotherapeutics, Inc.,</w:t>
              </w:r>
            </w:hyperlink>
          </w:p>
        </w:tc>
        <w:tc>
          <w:tcPr>
            <w:tcW w:w="12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gridSpan w:val="37"/>
          </w:tcPr>
          <w:p>
            <w:pPr>
              <w:spacing w:after="0" w:line="152" w:lineRule="exact"/>
              <w:rPr>
                <w:rFonts w:ascii="Arial" w:cs="Arial" w:eastAsia="Arial" w:hAnsi="Arial"/>
                <w:sz w:val="14"/>
                <w:szCs w:val="14"/>
                <w:color w:val="0000EE"/>
                <w:w w:val="95"/>
              </w:rPr>
            </w:pPr>
            <w:hyperlink r:id="rId245">
              <w:r>
                <w:rPr>
                  <w:rFonts w:ascii="Arial" w:cs="Arial" w:eastAsia="Arial" w:hAnsi="Arial"/>
                  <w:sz w:val="14"/>
                  <w:szCs w:val="14"/>
                  <w:color w:val="0000EE"/>
                  <w:w w:val="95"/>
                </w:rPr>
                <w:t>and Shareholder Representative Services LLC as the Stockholders’ Representative</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4780" w:type="dxa"/>
            <w:vAlign w:val="bottom"/>
            <w:tcBorders>
              <w:bottom w:val="single" w:sz="8" w:color="0000EE"/>
            </w:tcBorders>
            <w:gridSpan w:val="33"/>
          </w:tcPr>
          <w:p>
            <w:pPr>
              <w:spacing w:after="0"/>
              <w:rPr>
                <w:rFonts w:ascii="Arial" w:cs="Arial" w:eastAsia="Arial" w:hAnsi="Arial"/>
                <w:sz w:val="14"/>
                <w:szCs w:val="14"/>
                <w:color w:val="0000EE"/>
                <w:w w:val="92"/>
              </w:rPr>
            </w:pPr>
            <w:hyperlink r:id="rId245">
              <w:r>
                <w:rPr>
                  <w:rFonts w:ascii="Arial" w:cs="Arial" w:eastAsia="Arial" w:hAnsi="Arial"/>
                  <w:sz w:val="14"/>
                  <w:szCs w:val="14"/>
                  <w:color w:val="0000EE"/>
                  <w:w w:val="92"/>
                </w:rPr>
                <w:t>First Amendment to Agreement and Plan of Merger, dated August 12, 2021, by and</w:t>
              </w:r>
            </w:hyperlink>
          </w:p>
        </w:tc>
        <w:tc>
          <w:tcPr>
            <w:tcW w:w="180" w:type="dxa"/>
            <w:vAlign w:val="bottom"/>
            <w:gridSpan w:val="4"/>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gridSpan w:val="37"/>
          </w:tcPr>
          <w:p>
            <w:pPr>
              <w:spacing w:after="0" w:line="152" w:lineRule="exact"/>
              <w:rPr>
                <w:rFonts w:ascii="Arial" w:cs="Arial" w:eastAsia="Arial" w:hAnsi="Arial"/>
                <w:sz w:val="14"/>
                <w:szCs w:val="14"/>
                <w:color w:val="0000EE"/>
              </w:rPr>
            </w:pPr>
            <w:hyperlink r:id="rId245">
              <w:r>
                <w:rPr>
                  <w:rFonts w:ascii="Arial" w:cs="Arial" w:eastAsia="Arial" w:hAnsi="Arial"/>
                  <w:sz w:val="14"/>
                  <w:szCs w:val="14"/>
                  <w:color w:val="0000EE"/>
                </w:rPr>
                <w:t>among Big Cypress Acquisition Corp. and SAB Biotherapeutics, Inc.</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3960" w:type="dxa"/>
            <w:vAlign w:val="bottom"/>
            <w:tcBorders>
              <w:top w:val="single" w:sz="8" w:color="0000EE"/>
            </w:tcBorders>
            <w:gridSpan w:val="27"/>
          </w:tcPr>
          <w:p>
            <w:pPr>
              <w:spacing w:after="0"/>
              <w:rPr>
                <w:rFonts w:ascii="Arial" w:cs="Arial" w:eastAsia="Arial" w:hAnsi="Arial"/>
                <w:sz w:val="14"/>
                <w:szCs w:val="14"/>
                <w:color w:val="0000EE"/>
              </w:rPr>
            </w:pPr>
            <w:hyperlink r:id="rId246">
              <w:r>
                <w:rPr>
                  <w:rFonts w:ascii="Arial" w:cs="Arial" w:eastAsia="Arial" w:hAnsi="Arial"/>
                  <w:sz w:val="14"/>
                  <w:szCs w:val="14"/>
                  <w:color w:val="0000EE"/>
                </w:rPr>
                <w:t>Amended and Restated Certificate of Incorporation.</w:t>
              </w:r>
            </w:hyperlink>
          </w:p>
        </w:tc>
        <w:tc>
          <w:tcPr>
            <w:tcW w:w="1000" w:type="dxa"/>
            <w:vAlign w:val="bottom"/>
            <w:gridSpan w:val="10"/>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2960" w:type="dxa"/>
            <w:vAlign w:val="bottom"/>
            <w:tcBorders>
              <w:top w:val="single" w:sz="8" w:color="0000EE"/>
            </w:tcBorders>
            <w:gridSpan w:val="20"/>
          </w:tcPr>
          <w:p>
            <w:pPr>
              <w:spacing w:after="0"/>
              <w:rPr>
                <w:rFonts w:ascii="Arial" w:cs="Arial" w:eastAsia="Arial" w:hAnsi="Arial"/>
                <w:sz w:val="14"/>
                <w:szCs w:val="14"/>
                <w:color w:val="0000EE"/>
              </w:rPr>
            </w:pPr>
            <w:hyperlink r:id="rId247">
              <w:r>
                <w:rPr>
                  <w:rFonts w:ascii="Arial" w:cs="Arial" w:eastAsia="Arial" w:hAnsi="Arial"/>
                  <w:sz w:val="14"/>
                  <w:szCs w:val="14"/>
                  <w:color w:val="0000EE"/>
                </w:rPr>
                <w:t>Amended and Restated Bylaws.</w:t>
              </w:r>
            </w:hyperlink>
          </w:p>
        </w:tc>
        <w:tc>
          <w:tcPr>
            <w:tcW w:w="2000" w:type="dxa"/>
            <w:vAlign w:val="bottom"/>
            <w:gridSpan w:val="17"/>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4"/>
                <w:szCs w:val="14"/>
                <w:color w:val="0000EE"/>
                <w:w w:val="93"/>
              </w:rPr>
            </w:pPr>
            <w:hyperlink r:id="rId248">
              <w:r>
                <w:rPr>
                  <w:rFonts w:ascii="Arial" w:cs="Arial" w:eastAsia="Arial" w:hAnsi="Arial"/>
                  <w:sz w:val="14"/>
                  <w:szCs w:val="14"/>
                  <w:color w:val="0000EE"/>
                  <w:w w:val="93"/>
                </w:rPr>
                <w:t>Specimen Unit Certificate of BCYP.</w:t>
              </w:r>
            </w:hyperlink>
          </w:p>
        </w:tc>
        <w:tc>
          <w:tcPr>
            <w:tcW w:w="2880" w:type="dxa"/>
            <w:vAlign w:val="bottom"/>
            <w:gridSpan w:val="28"/>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2720" w:type="dxa"/>
            <w:vAlign w:val="bottom"/>
            <w:tcBorders>
              <w:bottom w:val="single" w:sz="8" w:color="0000EE"/>
            </w:tcBorders>
            <w:gridSpan w:val="18"/>
          </w:tcPr>
          <w:p>
            <w:pPr>
              <w:spacing w:after="0"/>
              <w:rPr>
                <w:rFonts w:ascii="Arial" w:cs="Arial" w:eastAsia="Arial" w:hAnsi="Arial"/>
                <w:sz w:val="14"/>
                <w:szCs w:val="14"/>
                <w:color w:val="0000EE"/>
                <w:w w:val="93"/>
              </w:rPr>
            </w:pPr>
            <w:hyperlink r:id="rId249">
              <w:r>
                <w:rPr>
                  <w:rFonts w:ascii="Arial" w:cs="Arial" w:eastAsia="Arial" w:hAnsi="Arial"/>
                  <w:sz w:val="14"/>
                  <w:szCs w:val="14"/>
                  <w:color w:val="0000EE"/>
                  <w:w w:val="93"/>
                </w:rPr>
                <w:t>Specimen Common Stock Certificate of BCYP.</w:t>
              </w:r>
            </w:hyperlink>
          </w:p>
        </w:tc>
        <w:tc>
          <w:tcPr>
            <w:tcW w:w="2240" w:type="dxa"/>
            <w:vAlign w:val="bottom"/>
            <w:gridSpan w:val="19"/>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w w:val="97"/>
              </w:rPr>
            </w:pPr>
            <w:hyperlink r:id="rId250">
              <w:r>
                <w:rPr>
                  <w:rFonts w:ascii="Arial" w:cs="Arial" w:eastAsia="Arial" w:hAnsi="Arial"/>
                  <w:sz w:val="14"/>
                  <w:szCs w:val="14"/>
                  <w:color w:val="0000EE"/>
                  <w:w w:val="97"/>
                </w:rPr>
                <w:t>Specimen Warrant Certificate of BCYP (incorporated by reference to Exhibit 4.3 of</w:t>
              </w:r>
            </w:hyperlink>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80" w:type="dxa"/>
            <w:vAlign w:val="bottom"/>
            <w:tcBorders>
              <w:top w:val="single" w:sz="8" w:color="0000EE"/>
            </w:tcBorders>
            <w:gridSpan w:val="33"/>
          </w:tcPr>
          <w:p>
            <w:pPr>
              <w:spacing w:after="0" w:line="152" w:lineRule="exact"/>
              <w:rPr>
                <w:rFonts w:ascii="Arial" w:cs="Arial" w:eastAsia="Arial" w:hAnsi="Arial"/>
                <w:sz w:val="14"/>
                <w:szCs w:val="14"/>
                <w:color w:val="0000EE"/>
              </w:rPr>
            </w:pPr>
            <w:hyperlink r:id="rId250">
              <w:r>
                <w:rPr>
                  <w:rFonts w:ascii="Arial" w:cs="Arial" w:eastAsia="Arial" w:hAnsi="Arial"/>
                  <w:sz w:val="14"/>
                  <w:szCs w:val="14"/>
                  <w:color w:val="0000EE"/>
                </w:rPr>
                <w:t>BCYP’s Form S-1/A.</w:t>
              </w:r>
            </w:hyperlink>
          </w:p>
        </w:tc>
        <w:tc>
          <w:tcPr>
            <w:tcW w:w="1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4840" w:type="dxa"/>
            <w:vAlign w:val="bottom"/>
            <w:tcBorders>
              <w:bottom w:val="single" w:sz="8" w:color="0000EE"/>
            </w:tcBorders>
            <w:gridSpan w:val="34"/>
          </w:tcPr>
          <w:p>
            <w:pPr>
              <w:spacing w:after="0"/>
              <w:rPr>
                <w:rFonts w:ascii="Arial" w:cs="Arial" w:eastAsia="Arial" w:hAnsi="Arial"/>
                <w:sz w:val="14"/>
                <w:szCs w:val="14"/>
                <w:color w:val="0000EE"/>
                <w:w w:val="99"/>
              </w:rPr>
            </w:pPr>
            <w:hyperlink r:id="rId251">
              <w:r>
                <w:rPr>
                  <w:rFonts w:ascii="Arial" w:cs="Arial" w:eastAsia="Arial" w:hAnsi="Arial"/>
                  <w:sz w:val="14"/>
                  <w:szCs w:val="14"/>
                  <w:color w:val="0000EE"/>
                  <w:w w:val="99"/>
                </w:rPr>
                <w:t>Form of Warrant Agreement between BCYP and Continental Stock Transfer &amp;</w:t>
              </w:r>
            </w:hyperlink>
          </w:p>
        </w:tc>
        <w:tc>
          <w:tcPr>
            <w:tcW w:w="120" w:type="dxa"/>
            <w:vAlign w:val="bottom"/>
            <w:gridSpan w:val="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gridSpan w:val="37"/>
          </w:tcPr>
          <w:p>
            <w:pPr>
              <w:spacing w:after="0" w:line="152" w:lineRule="exact"/>
              <w:rPr>
                <w:rFonts w:ascii="Arial" w:cs="Arial" w:eastAsia="Arial" w:hAnsi="Arial"/>
                <w:sz w:val="14"/>
                <w:szCs w:val="14"/>
                <w:color w:val="0000EE"/>
              </w:rPr>
            </w:pPr>
            <w:hyperlink r:id="rId251">
              <w:r>
                <w:rPr>
                  <w:rFonts w:ascii="Arial" w:cs="Arial" w:eastAsia="Arial" w:hAnsi="Arial"/>
                  <w:sz w:val="14"/>
                  <w:szCs w:val="14"/>
                  <w:color w:val="0000EE"/>
                </w:rPr>
                <w:t>Trust Company.</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w:anchor="page186">
              <w:r>
                <w:rPr>
                  <w:rFonts w:ascii="Arial" w:cs="Arial" w:eastAsia="Arial" w:hAnsi="Arial"/>
                  <w:sz w:val="14"/>
                  <w:szCs w:val="14"/>
                  <w:color w:val="0000EE"/>
                </w:rPr>
                <w:t>Opinion of Dentons US LLP.</w:t>
              </w:r>
            </w:hyperlink>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3180" w:type="dxa"/>
            <w:vAlign w:val="bottom"/>
            <w:tcBorders>
              <w:bottom w:val="single" w:sz="8" w:color="0000EE"/>
            </w:tcBorders>
            <w:gridSpan w:val="22"/>
          </w:tcPr>
          <w:p>
            <w:pPr>
              <w:spacing w:after="0"/>
              <w:rPr>
                <w:rFonts w:ascii="Arial" w:cs="Arial" w:eastAsia="Arial" w:hAnsi="Arial"/>
                <w:sz w:val="14"/>
                <w:szCs w:val="14"/>
                <w:color w:val="0000EE"/>
                <w:w w:val="91"/>
              </w:rPr>
            </w:pPr>
            <w:hyperlink r:id="rId252">
              <w:r>
                <w:rPr>
                  <w:rFonts w:ascii="Arial" w:cs="Arial" w:eastAsia="Arial" w:hAnsi="Arial"/>
                  <w:sz w:val="14"/>
                  <w:szCs w:val="14"/>
                  <w:color w:val="0000EE"/>
                  <w:w w:val="91"/>
                </w:rPr>
                <w:t>Amended and Restated Registration Rights Agreement.</w:t>
              </w:r>
            </w:hyperlink>
          </w:p>
        </w:tc>
        <w:tc>
          <w:tcPr>
            <w:tcW w:w="1780" w:type="dxa"/>
            <w:vAlign w:val="bottom"/>
            <w:gridSpan w:val="15"/>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10.1*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r:id="rId253">
              <w:r>
                <w:rPr>
                  <w:rFonts w:ascii="Arial" w:cs="Arial" w:eastAsia="Arial" w:hAnsi="Arial"/>
                  <w:sz w:val="14"/>
                  <w:szCs w:val="14"/>
                  <w:color w:val="0000EE"/>
                </w:rPr>
                <w:t>Employment Agreement, dated March 1, 2021, by and between SAB</w:t>
              </w:r>
            </w:hyperlink>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10.2*¥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Borders>
              <w:top w:val="single" w:sz="8" w:color="0000EE"/>
              <w:bottom w:val="single" w:sz="8" w:color="0000EE"/>
            </w:tcBorders>
            <w:gridSpan w:val="17"/>
          </w:tcPr>
          <w:p>
            <w:pPr>
              <w:spacing w:after="0" w:line="152" w:lineRule="exact"/>
              <w:rPr>
                <w:rFonts w:ascii="Arial" w:cs="Arial" w:eastAsia="Arial" w:hAnsi="Arial"/>
                <w:sz w:val="14"/>
                <w:szCs w:val="14"/>
                <w:color w:val="0000EE"/>
                <w:w w:val="92"/>
              </w:rPr>
            </w:pPr>
            <w:hyperlink r:id="rId253">
              <w:r>
                <w:rPr>
                  <w:rFonts w:ascii="Arial" w:cs="Arial" w:eastAsia="Arial" w:hAnsi="Arial"/>
                  <w:sz w:val="14"/>
                  <w:szCs w:val="14"/>
                  <w:color w:val="0000EE"/>
                  <w:w w:val="92"/>
                </w:rPr>
                <w:t>Biotherapeutics, Inc. and Eddie J. Sullivan.</w:t>
              </w:r>
            </w:hyperlink>
          </w:p>
        </w:tc>
        <w:tc>
          <w:tcPr>
            <w:tcW w:w="1460" w:type="dxa"/>
            <w:vAlign w:val="bottom"/>
            <w:tcBorders>
              <w:top w:val="single" w:sz="8" w:color="0000EE"/>
            </w:tcBorders>
            <w:gridSpan w:val="9"/>
          </w:tcPr>
          <w:p>
            <w:pPr>
              <w:spacing w:after="0"/>
              <w:rPr>
                <w:sz w:val="13"/>
                <w:szCs w:val="13"/>
                <w:color w:val="auto"/>
              </w:rPr>
            </w:pPr>
          </w:p>
        </w:tc>
        <w:tc>
          <w:tcPr>
            <w:tcW w:w="1020" w:type="dxa"/>
            <w:vAlign w:val="bottom"/>
            <w:gridSpan w:val="11"/>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r:id="rId254">
              <w:r>
                <w:rPr>
                  <w:rFonts w:ascii="Arial" w:cs="Arial" w:eastAsia="Arial" w:hAnsi="Arial"/>
                  <w:sz w:val="14"/>
                  <w:szCs w:val="14"/>
                  <w:color w:val="0000EE"/>
                </w:rPr>
                <w:t>Employment Agreement, dated March 1, 2021, by and between SAB</w:t>
              </w:r>
            </w:hyperlink>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10.3*¥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Borders>
              <w:top w:val="single" w:sz="8" w:color="0000EE"/>
              <w:bottom w:val="single" w:sz="8" w:color="0000EE"/>
            </w:tcBorders>
            <w:gridSpan w:val="13"/>
          </w:tcPr>
          <w:p>
            <w:pPr>
              <w:spacing w:after="0" w:line="152" w:lineRule="exact"/>
              <w:rPr>
                <w:rFonts w:ascii="Arial" w:cs="Arial" w:eastAsia="Arial" w:hAnsi="Arial"/>
                <w:sz w:val="14"/>
                <w:szCs w:val="14"/>
                <w:color w:val="0000EE"/>
                <w:w w:val="92"/>
              </w:rPr>
            </w:pPr>
            <w:hyperlink r:id="rId254">
              <w:r>
                <w:rPr>
                  <w:rFonts w:ascii="Arial" w:cs="Arial" w:eastAsia="Arial" w:hAnsi="Arial"/>
                  <w:sz w:val="14"/>
                  <w:szCs w:val="14"/>
                  <w:color w:val="0000EE"/>
                  <w:w w:val="92"/>
                </w:rPr>
                <w:t>Biotherapeutics, Inc. and Thomas Luke.</w:t>
              </w:r>
            </w:hyperlink>
          </w:p>
        </w:tc>
        <w:tc>
          <w:tcPr>
            <w:tcW w:w="1640" w:type="dxa"/>
            <w:vAlign w:val="bottom"/>
            <w:tcBorders>
              <w:top w:val="single" w:sz="8" w:color="0000EE"/>
            </w:tcBorders>
            <w:gridSpan w:val="13"/>
          </w:tcPr>
          <w:p>
            <w:pPr>
              <w:spacing w:after="0"/>
              <w:rPr>
                <w:sz w:val="13"/>
                <w:szCs w:val="13"/>
                <w:color w:val="auto"/>
              </w:rPr>
            </w:pPr>
          </w:p>
        </w:tc>
        <w:tc>
          <w:tcPr>
            <w:tcW w:w="1020" w:type="dxa"/>
            <w:vAlign w:val="bottom"/>
            <w:gridSpan w:val="11"/>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r:id="rId255">
              <w:r>
                <w:rPr>
                  <w:rFonts w:ascii="Arial" w:cs="Arial" w:eastAsia="Arial" w:hAnsi="Arial"/>
                  <w:sz w:val="14"/>
                  <w:szCs w:val="14"/>
                  <w:color w:val="0000EE"/>
                </w:rPr>
                <w:t>Employment Agreement, dated March 1, 2021, by and between SAB</w:t>
              </w:r>
            </w:hyperlink>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10.4*¥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19"/>
          </w:tcPr>
          <w:p>
            <w:pPr>
              <w:spacing w:after="0" w:line="152" w:lineRule="exact"/>
              <w:rPr>
                <w:rFonts w:ascii="Arial" w:cs="Arial" w:eastAsia="Arial" w:hAnsi="Arial"/>
                <w:sz w:val="14"/>
                <w:szCs w:val="14"/>
                <w:color w:val="0000EE"/>
                <w:w w:val="91"/>
              </w:rPr>
            </w:pPr>
            <w:hyperlink r:id="rId255">
              <w:r>
                <w:rPr>
                  <w:rFonts w:ascii="Arial" w:cs="Arial" w:eastAsia="Arial" w:hAnsi="Arial"/>
                  <w:sz w:val="14"/>
                  <w:szCs w:val="14"/>
                  <w:color w:val="0000EE"/>
                  <w:w w:val="91"/>
                </w:rPr>
                <w:t>Biotherapeutics, Inc. and Charles H. Randall, Jr.</w:t>
              </w:r>
            </w:hyperlink>
          </w:p>
        </w:tc>
        <w:tc>
          <w:tcPr>
            <w:tcW w:w="1180" w:type="dxa"/>
            <w:vAlign w:val="bottom"/>
            <w:tcBorders>
              <w:top w:val="single" w:sz="8" w:color="0000EE"/>
            </w:tcBorders>
            <w:gridSpan w:val="7"/>
          </w:tcPr>
          <w:p>
            <w:pPr>
              <w:spacing w:after="0"/>
              <w:rPr>
                <w:sz w:val="13"/>
                <w:szCs w:val="13"/>
                <w:color w:val="auto"/>
              </w:rPr>
            </w:pPr>
          </w:p>
        </w:tc>
        <w:tc>
          <w:tcPr>
            <w:tcW w:w="1020" w:type="dxa"/>
            <w:vAlign w:val="bottom"/>
            <w:gridSpan w:val="11"/>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4260" w:type="dxa"/>
            <w:vAlign w:val="bottom"/>
            <w:tcBorders>
              <w:bottom w:val="single" w:sz="8" w:color="0000EE"/>
            </w:tcBorders>
            <w:gridSpan w:val="29"/>
          </w:tcPr>
          <w:p>
            <w:pPr>
              <w:spacing w:after="0"/>
              <w:rPr>
                <w:rFonts w:ascii="Arial" w:cs="Arial" w:eastAsia="Arial" w:hAnsi="Arial"/>
                <w:sz w:val="14"/>
                <w:szCs w:val="14"/>
                <w:color w:val="0000EE"/>
                <w:w w:val="91"/>
              </w:rPr>
            </w:pPr>
            <w:hyperlink r:id="rId256">
              <w:r>
                <w:rPr>
                  <w:rFonts w:ascii="Arial" w:cs="Arial" w:eastAsia="Arial" w:hAnsi="Arial"/>
                  <w:sz w:val="14"/>
                  <w:szCs w:val="14"/>
                  <w:color w:val="0000EE"/>
                  <w:w w:val="91"/>
                </w:rPr>
                <w:t>Employment Agreement, dated September 15, 2021, by and between SAB</w:t>
              </w:r>
            </w:hyperlink>
          </w:p>
        </w:tc>
        <w:tc>
          <w:tcPr>
            <w:tcW w:w="700" w:type="dxa"/>
            <w:vAlign w:val="bottom"/>
            <w:gridSpan w:val="8"/>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10.5*¥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Borders>
              <w:bottom w:val="single" w:sz="8" w:color="0000EE"/>
            </w:tcBorders>
            <w:gridSpan w:val="13"/>
          </w:tcPr>
          <w:p>
            <w:pPr>
              <w:spacing w:after="0" w:line="152" w:lineRule="exact"/>
              <w:rPr>
                <w:rFonts w:ascii="Arial" w:cs="Arial" w:eastAsia="Arial" w:hAnsi="Arial"/>
                <w:sz w:val="14"/>
                <w:szCs w:val="14"/>
                <w:color w:val="0000EE"/>
                <w:w w:val="91"/>
              </w:rPr>
            </w:pPr>
            <w:hyperlink r:id="rId256">
              <w:r>
                <w:rPr>
                  <w:rFonts w:ascii="Arial" w:cs="Arial" w:eastAsia="Arial" w:hAnsi="Arial"/>
                  <w:sz w:val="14"/>
                  <w:szCs w:val="14"/>
                  <w:color w:val="0000EE"/>
                  <w:w w:val="91"/>
                </w:rPr>
                <w:t>Biotherapeutics, Inc. and Russell Beyer.</w:t>
              </w:r>
            </w:hyperlink>
          </w:p>
        </w:tc>
        <w:tc>
          <w:tcPr>
            <w:tcW w:w="2660" w:type="dxa"/>
            <w:vAlign w:val="bottom"/>
            <w:gridSpan w:val="2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Arial" w:cs="Arial" w:eastAsia="Arial" w:hAnsi="Arial"/>
                <w:sz w:val="14"/>
                <w:szCs w:val="14"/>
                <w:color w:val="0000EE"/>
                <w:w w:val="94"/>
              </w:rPr>
            </w:pPr>
            <w:hyperlink r:id="rId257">
              <w:r>
                <w:rPr>
                  <w:rFonts w:ascii="Arial" w:cs="Arial" w:eastAsia="Arial" w:hAnsi="Arial"/>
                  <w:sz w:val="14"/>
                  <w:szCs w:val="14"/>
                  <w:color w:val="0000EE"/>
                  <w:w w:val="94"/>
                </w:rPr>
                <w:t>Form of Indemnification Agreement.</w:t>
              </w:r>
            </w:hyperlink>
          </w:p>
        </w:tc>
        <w:tc>
          <w:tcPr>
            <w:tcW w:w="2840" w:type="dxa"/>
            <w:vAlign w:val="bottom"/>
            <w:gridSpan w:val="27"/>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10.6*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3700" w:type="dxa"/>
            <w:vAlign w:val="bottom"/>
            <w:tcBorders>
              <w:bottom w:val="single" w:sz="8" w:color="0000EE"/>
            </w:tcBorders>
            <w:gridSpan w:val="25"/>
          </w:tcPr>
          <w:p>
            <w:pPr>
              <w:spacing w:after="0"/>
              <w:rPr>
                <w:rFonts w:ascii="Arial" w:cs="Arial" w:eastAsia="Arial" w:hAnsi="Arial"/>
                <w:sz w:val="14"/>
                <w:szCs w:val="14"/>
                <w:color w:val="0000EE"/>
                <w:w w:val="93"/>
              </w:rPr>
            </w:pPr>
            <w:hyperlink r:id="rId245">
              <w:r>
                <w:rPr>
                  <w:rFonts w:ascii="Arial" w:cs="Arial" w:eastAsia="Arial" w:hAnsi="Arial"/>
                  <w:sz w:val="14"/>
                  <w:szCs w:val="14"/>
                  <w:color w:val="0000EE"/>
                  <w:w w:val="93"/>
                </w:rPr>
                <w:t>SAB Biotherapeutics, Inc. 2021 Omnibus Equity Incentive Plan.</w:t>
              </w:r>
            </w:hyperlink>
          </w:p>
        </w:tc>
        <w:tc>
          <w:tcPr>
            <w:tcW w:w="1260" w:type="dxa"/>
            <w:vAlign w:val="bottom"/>
            <w:gridSpan w:val="12"/>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10.7¥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3680" w:type="dxa"/>
            <w:vAlign w:val="bottom"/>
            <w:tcBorders>
              <w:bottom w:val="single" w:sz="8" w:color="0000EE"/>
            </w:tcBorders>
            <w:gridSpan w:val="24"/>
          </w:tcPr>
          <w:p>
            <w:pPr>
              <w:spacing w:after="0"/>
              <w:rPr>
                <w:rFonts w:ascii="Arial" w:cs="Arial" w:eastAsia="Arial" w:hAnsi="Arial"/>
                <w:sz w:val="14"/>
                <w:szCs w:val="14"/>
                <w:color w:val="0000EE"/>
                <w:w w:val="92"/>
              </w:rPr>
            </w:pPr>
            <w:hyperlink r:id="rId245">
              <w:r>
                <w:rPr>
                  <w:rFonts w:ascii="Arial" w:cs="Arial" w:eastAsia="Arial" w:hAnsi="Arial"/>
                  <w:sz w:val="14"/>
                  <w:szCs w:val="14"/>
                  <w:color w:val="0000EE"/>
                  <w:w w:val="92"/>
                </w:rPr>
                <w:t>SAB Biotherapeutics, Inc. 2021 Employee Stock Purchase Plan.</w:t>
              </w:r>
            </w:hyperlink>
          </w:p>
        </w:tc>
        <w:tc>
          <w:tcPr>
            <w:tcW w:w="1280" w:type="dxa"/>
            <w:vAlign w:val="bottom"/>
            <w:gridSpan w:val="13"/>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10.8¥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4860" w:type="dxa"/>
            <w:vAlign w:val="bottom"/>
            <w:tcBorders>
              <w:bottom w:val="single" w:sz="8" w:color="0000EE"/>
            </w:tcBorders>
            <w:gridSpan w:val="35"/>
          </w:tcPr>
          <w:p>
            <w:pPr>
              <w:spacing w:after="0"/>
              <w:rPr>
                <w:rFonts w:ascii="Arial" w:cs="Arial" w:eastAsia="Arial" w:hAnsi="Arial"/>
                <w:sz w:val="14"/>
                <w:szCs w:val="14"/>
                <w:color w:val="0000EE"/>
                <w:w w:val="92"/>
              </w:rPr>
            </w:pPr>
            <w:hyperlink r:id="rId258">
              <w:r>
                <w:rPr>
                  <w:rFonts w:ascii="Arial" w:cs="Arial" w:eastAsia="Arial" w:hAnsi="Arial"/>
                  <w:sz w:val="14"/>
                  <w:szCs w:val="14"/>
                  <w:color w:val="0000EE"/>
                  <w:w w:val="92"/>
                </w:rPr>
                <w:t>Form of Securities Subscription Agreement, dated November 12, 2020, between the</w:t>
              </w:r>
            </w:hyperlink>
          </w:p>
        </w:tc>
        <w:tc>
          <w:tcPr>
            <w:tcW w:w="10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Borders>
              <w:bottom w:val="single" w:sz="8" w:color="0000EE"/>
            </w:tcBorders>
            <w:gridSpan w:val="12"/>
          </w:tcPr>
          <w:p>
            <w:pPr>
              <w:spacing w:after="0" w:line="152" w:lineRule="exact"/>
              <w:rPr>
                <w:rFonts w:ascii="Arial" w:cs="Arial" w:eastAsia="Arial" w:hAnsi="Arial"/>
                <w:sz w:val="14"/>
                <w:szCs w:val="14"/>
                <w:color w:val="0000EE"/>
                <w:w w:val="95"/>
              </w:rPr>
            </w:pPr>
            <w:hyperlink r:id="rId258">
              <w:r>
                <w:rPr>
                  <w:rFonts w:ascii="Arial" w:cs="Arial" w:eastAsia="Arial" w:hAnsi="Arial"/>
                  <w:sz w:val="14"/>
                  <w:szCs w:val="14"/>
                  <w:color w:val="0000EE"/>
                  <w:w w:val="95"/>
                </w:rPr>
                <w:t>BCYP and Big Cypress Holdings LLC.</w:t>
              </w:r>
            </w:hyperlink>
          </w:p>
        </w:tc>
        <w:tc>
          <w:tcPr>
            <w:tcW w:w="2680" w:type="dxa"/>
            <w:vAlign w:val="bottom"/>
            <w:gridSpan w:val="2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4860" w:type="dxa"/>
            <w:vAlign w:val="bottom"/>
            <w:tcBorders>
              <w:bottom w:val="single" w:sz="8" w:color="0000EE"/>
            </w:tcBorders>
            <w:gridSpan w:val="35"/>
          </w:tcPr>
          <w:p>
            <w:pPr>
              <w:spacing w:after="0"/>
              <w:rPr>
                <w:rFonts w:ascii="Arial" w:cs="Arial" w:eastAsia="Arial" w:hAnsi="Arial"/>
                <w:sz w:val="14"/>
                <w:szCs w:val="14"/>
                <w:color w:val="0000EE"/>
                <w:w w:val="99"/>
              </w:rPr>
            </w:pPr>
            <w:hyperlink r:id="rId258">
              <w:r>
                <w:rPr>
                  <w:rFonts w:ascii="Arial" w:cs="Arial" w:eastAsia="Arial" w:hAnsi="Arial"/>
                  <w:sz w:val="14"/>
                  <w:szCs w:val="14"/>
                  <w:color w:val="0000EE"/>
                  <w:w w:val="99"/>
                </w:rPr>
                <w:t>Securities Purchase Agreement, dated December 7, 2020, between BCYP and</w:t>
              </w:r>
            </w:hyperlink>
          </w:p>
        </w:tc>
        <w:tc>
          <w:tcPr>
            <w:tcW w:w="10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gridSpan w:val="37"/>
          </w:tcPr>
          <w:p>
            <w:pPr>
              <w:spacing w:after="0" w:line="152" w:lineRule="exact"/>
              <w:rPr>
                <w:rFonts w:ascii="Arial" w:cs="Arial" w:eastAsia="Arial" w:hAnsi="Arial"/>
                <w:sz w:val="14"/>
                <w:szCs w:val="14"/>
                <w:color w:val="0000EE"/>
              </w:rPr>
            </w:pPr>
            <w:hyperlink r:id="rId258">
              <w:r>
                <w:rPr>
                  <w:rFonts w:ascii="Arial" w:cs="Arial" w:eastAsia="Arial" w:hAnsi="Arial"/>
                  <w:sz w:val="14"/>
                  <w:szCs w:val="14"/>
                  <w:color w:val="0000EE"/>
                </w:rPr>
                <w:t>Ladenburg Thalmann &amp; Co. Inc. and certain of its employees.</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
        </w:trPr>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4860" w:type="dxa"/>
            <w:vAlign w:val="bottom"/>
            <w:tcBorders>
              <w:bottom w:val="single" w:sz="8" w:color="0000EE"/>
            </w:tcBorders>
            <w:gridSpan w:val="35"/>
          </w:tcPr>
          <w:p>
            <w:pPr>
              <w:spacing w:after="0"/>
              <w:rPr>
                <w:rFonts w:ascii="Arial" w:cs="Arial" w:eastAsia="Arial" w:hAnsi="Arial"/>
                <w:sz w:val="14"/>
                <w:szCs w:val="14"/>
                <w:color w:val="0000EE"/>
              </w:rPr>
            </w:pPr>
            <w:hyperlink r:id="rId259">
              <w:r>
                <w:rPr>
                  <w:rFonts w:ascii="Arial" w:cs="Arial" w:eastAsia="Arial" w:hAnsi="Arial"/>
                  <w:sz w:val="14"/>
                  <w:szCs w:val="14"/>
                  <w:color w:val="0000EE"/>
                </w:rPr>
                <w:t>Placement Unit Subscription Agreement dated January 11, 2021 between the</w:t>
              </w:r>
            </w:hyperlink>
          </w:p>
        </w:tc>
        <w:tc>
          <w:tcPr>
            <w:tcW w:w="10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bottom w:val="single" w:sz="8" w:color="0000EE"/>
            </w:tcBorders>
            <w:gridSpan w:val="16"/>
          </w:tcPr>
          <w:p>
            <w:pPr>
              <w:spacing w:after="0" w:line="152" w:lineRule="exact"/>
              <w:rPr>
                <w:rFonts w:ascii="Arial" w:cs="Arial" w:eastAsia="Arial" w:hAnsi="Arial"/>
                <w:sz w:val="14"/>
                <w:szCs w:val="14"/>
                <w:color w:val="0000EE"/>
                <w:w w:val="93"/>
              </w:rPr>
            </w:pPr>
            <w:hyperlink r:id="rId259">
              <w:r>
                <w:rPr>
                  <w:rFonts w:ascii="Arial" w:cs="Arial" w:eastAsia="Arial" w:hAnsi="Arial"/>
                  <w:sz w:val="14"/>
                  <w:szCs w:val="14"/>
                  <w:color w:val="0000EE"/>
                  <w:w w:val="93"/>
                </w:rPr>
                <w:t>Company and Big Cypress Holdings LLC.</w:t>
              </w:r>
            </w:hyperlink>
          </w:p>
        </w:tc>
        <w:tc>
          <w:tcPr>
            <w:tcW w:w="2520" w:type="dxa"/>
            <w:vAlign w:val="bottom"/>
            <w:gridSpan w:val="21"/>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r:id="rId260">
              <w:r>
                <w:rPr>
                  <w:rFonts w:ascii="Arial" w:cs="Arial" w:eastAsia="Arial" w:hAnsi="Arial"/>
                  <w:sz w:val="14"/>
                  <w:szCs w:val="14"/>
                  <w:color w:val="0000EE"/>
                </w:rPr>
                <w:t>BCYP Stockholders Support Agreement.</w:t>
              </w:r>
            </w:hyperlink>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2260" w:type="dxa"/>
            <w:vAlign w:val="bottom"/>
            <w:tcBorders>
              <w:top w:val="single" w:sz="8" w:color="0000EE"/>
              <w:bottom w:val="single" w:sz="8" w:color="0000EE"/>
            </w:tcBorders>
            <w:gridSpan w:val="11"/>
          </w:tcPr>
          <w:p>
            <w:pPr>
              <w:spacing w:after="0"/>
              <w:rPr>
                <w:rFonts w:ascii="Arial" w:cs="Arial" w:eastAsia="Arial" w:hAnsi="Arial"/>
                <w:sz w:val="14"/>
                <w:szCs w:val="14"/>
                <w:color w:val="0000EE"/>
                <w:w w:val="92"/>
              </w:rPr>
            </w:pPr>
            <w:hyperlink r:id="rId261">
              <w:r>
                <w:rPr>
                  <w:rFonts w:ascii="Arial" w:cs="Arial" w:eastAsia="Arial" w:hAnsi="Arial"/>
                  <w:sz w:val="14"/>
                  <w:szCs w:val="14"/>
                  <w:color w:val="0000EE"/>
                  <w:w w:val="92"/>
                </w:rPr>
                <w:t>SAB Stockholders Support Agreement.</w:t>
              </w:r>
            </w:hyperlink>
          </w:p>
        </w:tc>
        <w:tc>
          <w:tcPr>
            <w:tcW w:w="80" w:type="dxa"/>
            <w:vAlign w:val="bottom"/>
            <w:tcBorders>
              <w:top w:val="single" w:sz="8" w:color="0000EE"/>
            </w:tcBorders>
            <w:gridSpan w:val="3"/>
          </w:tcPr>
          <w:p>
            <w:pPr>
              <w:spacing w:after="0"/>
              <w:rPr>
                <w:sz w:val="24"/>
                <w:szCs w:val="24"/>
                <w:color w:val="auto"/>
              </w:rPr>
            </w:pPr>
          </w:p>
        </w:tc>
        <w:tc>
          <w:tcPr>
            <w:tcW w:w="2620" w:type="dxa"/>
            <w:vAlign w:val="bottom"/>
            <w:gridSpan w:val="2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333-258869</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10.8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08"/>
              <w:spacing w:after="0"/>
              <w:rPr>
                <w:sz w:val="20"/>
                <w:szCs w:val="20"/>
                <w:color w:val="auto"/>
              </w:rPr>
            </w:pPr>
            <w:r>
              <w:rPr>
                <w:rFonts w:ascii="Arial" w:cs="Arial" w:eastAsia="Arial" w:hAnsi="Arial"/>
                <w:sz w:val="14"/>
                <w:szCs w:val="14"/>
                <w:color w:val="auto"/>
                <w:w w:val="89"/>
              </w:rPr>
              <w:t>September 22,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4"/>
                <w:szCs w:val="24"/>
                <w:color w:val="auto"/>
              </w:rPr>
            </w:pPr>
          </w:p>
        </w:tc>
        <w:tc>
          <w:tcPr>
            <w:tcW w:w="4960" w:type="dxa"/>
            <w:vAlign w:val="bottom"/>
            <w:gridSpan w:val="37"/>
          </w:tcPr>
          <w:p>
            <w:pPr>
              <w:spacing w:after="0"/>
              <w:rPr>
                <w:rFonts w:ascii="Arial" w:cs="Arial" w:eastAsia="Arial" w:hAnsi="Arial"/>
                <w:sz w:val="14"/>
                <w:szCs w:val="14"/>
                <w:color w:val="0000EE"/>
              </w:rPr>
            </w:pPr>
            <w:hyperlink r:id="rId262">
              <w:r>
                <w:rPr>
                  <w:rFonts w:ascii="Arial" w:cs="Arial" w:eastAsia="Arial" w:hAnsi="Arial"/>
                  <w:sz w:val="14"/>
                  <w:szCs w:val="14"/>
                  <w:color w:val="0000EE"/>
                </w:rPr>
                <w:t>Letter to SEC from Marcum LLP</w:t>
              </w:r>
            </w:hyperlink>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001-39871</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7"/>
              </w:rPr>
              <w:t>16.1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228"/>
              <w:spacing w:after="0"/>
              <w:rPr>
                <w:sz w:val="20"/>
                <w:szCs w:val="20"/>
                <w:color w:val="auto"/>
              </w:rPr>
            </w:pPr>
            <w:r>
              <w:rPr>
                <w:rFonts w:ascii="Arial" w:cs="Arial" w:eastAsia="Arial" w:hAnsi="Arial"/>
                <w:sz w:val="14"/>
                <w:szCs w:val="14"/>
                <w:color w:val="auto"/>
                <w:w w:val="92"/>
              </w:rPr>
              <w:t>October 28, 2021</w:t>
            </w: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4"/>
                <w:szCs w:val="14"/>
                <w:color w:val="0000EE"/>
                <w:w w:val="92"/>
              </w:rPr>
            </w:pPr>
            <w:hyperlink w:anchor="page188">
              <w:r>
                <w:rPr>
                  <w:rFonts w:ascii="Arial" w:cs="Arial" w:eastAsia="Arial" w:hAnsi="Arial"/>
                  <w:sz w:val="14"/>
                  <w:szCs w:val="14"/>
                  <w:color w:val="0000EE"/>
                  <w:w w:val="92"/>
                </w:rPr>
                <w:t>Consent of Marcum LLP.</w:t>
              </w:r>
            </w:hyperlink>
          </w:p>
        </w:tc>
        <w:tc>
          <w:tcPr>
            <w:tcW w:w="440" w:type="dxa"/>
            <w:vAlign w:val="bottom"/>
            <w:tcBorders>
              <w:top w:val="single" w:sz="8" w:color="0000EE"/>
            </w:tcBorders>
            <w:gridSpan w:val="3"/>
          </w:tcPr>
          <w:p>
            <w:pPr>
              <w:spacing w:after="0"/>
              <w:rPr>
                <w:sz w:val="24"/>
                <w:szCs w:val="24"/>
                <w:color w:val="auto"/>
              </w:rPr>
            </w:pPr>
          </w:p>
        </w:tc>
        <w:tc>
          <w:tcPr>
            <w:tcW w:w="3060" w:type="dxa"/>
            <w:vAlign w:val="bottom"/>
            <w:gridSpan w:val="29"/>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4"/>
                <w:szCs w:val="24"/>
                <w:color w:val="auto"/>
              </w:rPr>
            </w:pPr>
          </w:p>
        </w:tc>
        <w:tc>
          <w:tcPr>
            <w:tcW w:w="3120" w:type="dxa"/>
            <w:vAlign w:val="bottom"/>
            <w:tcBorders>
              <w:bottom w:val="single" w:sz="8" w:color="0000EE"/>
            </w:tcBorders>
            <w:gridSpan w:val="21"/>
          </w:tcPr>
          <w:p>
            <w:pPr>
              <w:spacing w:after="0"/>
              <w:rPr>
                <w:rFonts w:ascii="Arial" w:cs="Arial" w:eastAsia="Arial" w:hAnsi="Arial"/>
                <w:sz w:val="14"/>
                <w:szCs w:val="14"/>
                <w:color w:val="0000EE"/>
                <w:w w:val="94"/>
              </w:rPr>
            </w:pPr>
            <w:hyperlink w:anchor="page186">
              <w:r>
                <w:rPr>
                  <w:rFonts w:ascii="Arial" w:cs="Arial" w:eastAsia="Arial" w:hAnsi="Arial"/>
                  <w:sz w:val="14"/>
                  <w:szCs w:val="14"/>
                  <w:color w:val="0000EE"/>
                  <w:w w:val="94"/>
                </w:rPr>
                <w:t>Consent of Dentons US LLP (included in Exhibit 5.1).</w:t>
              </w:r>
            </w:hyperlink>
          </w:p>
        </w:tc>
        <w:tc>
          <w:tcPr>
            <w:tcW w:w="184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2380" w:type="dxa"/>
            <w:vAlign w:val="bottom"/>
            <w:tcBorders>
              <w:bottom w:val="single" w:sz="8" w:color="0000EE"/>
            </w:tcBorders>
            <w:gridSpan w:val="15"/>
          </w:tcPr>
          <w:p>
            <w:pPr>
              <w:spacing w:after="0"/>
              <w:rPr>
                <w:rFonts w:ascii="Arial" w:cs="Arial" w:eastAsia="Arial" w:hAnsi="Arial"/>
                <w:sz w:val="14"/>
                <w:szCs w:val="14"/>
                <w:color w:val="0000EE"/>
                <w:w w:val="92"/>
              </w:rPr>
            </w:pPr>
            <w:hyperlink w:anchor="page189">
              <w:r>
                <w:rPr>
                  <w:rFonts w:ascii="Arial" w:cs="Arial" w:eastAsia="Arial" w:hAnsi="Arial"/>
                  <w:sz w:val="14"/>
                  <w:szCs w:val="14"/>
                  <w:color w:val="0000EE"/>
                  <w:w w:val="92"/>
                </w:rPr>
                <w:t>Consent of Mayer Hoffman McCann P.C.</w:t>
              </w:r>
            </w:hyperlink>
          </w:p>
        </w:tc>
        <w:tc>
          <w:tcPr>
            <w:tcW w:w="2580" w:type="dxa"/>
            <w:vAlign w:val="bottom"/>
            <w:gridSpan w:val="2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4"/>
                <w:szCs w:val="24"/>
                <w:color w:val="auto"/>
              </w:rPr>
            </w:pPr>
          </w:p>
        </w:tc>
        <w:tc>
          <w:tcPr>
            <w:tcW w:w="4840" w:type="dxa"/>
            <w:vAlign w:val="bottom"/>
            <w:tcBorders>
              <w:bottom w:val="single" w:sz="8" w:color="0000EE"/>
            </w:tcBorders>
            <w:gridSpan w:val="34"/>
          </w:tcPr>
          <w:p>
            <w:pPr>
              <w:spacing w:after="0"/>
              <w:rPr>
                <w:rFonts w:ascii="Arial" w:cs="Arial" w:eastAsia="Arial" w:hAnsi="Arial"/>
                <w:sz w:val="14"/>
                <w:szCs w:val="14"/>
                <w:color w:val="0000EE"/>
              </w:rPr>
            </w:pPr>
            <w:hyperlink w:anchor="page185">
              <w:r>
                <w:rPr>
                  <w:rFonts w:ascii="Arial" w:cs="Arial" w:eastAsia="Arial" w:hAnsi="Arial"/>
                  <w:sz w:val="14"/>
                  <w:szCs w:val="14"/>
                  <w:color w:val="0000EE"/>
                </w:rPr>
                <w:t>Power of Attorney (included on a signature page of the initial filing of this</w:t>
              </w:r>
            </w:hyperlink>
          </w:p>
        </w:tc>
        <w:tc>
          <w:tcPr>
            <w:tcW w:w="1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60" w:type="dxa"/>
            <w:vAlign w:val="bottom"/>
            <w:gridSpan w:val="37"/>
          </w:tcPr>
          <w:p>
            <w:pPr>
              <w:spacing w:after="0" w:line="152" w:lineRule="exact"/>
              <w:rPr>
                <w:rFonts w:ascii="Arial" w:cs="Arial" w:eastAsia="Arial" w:hAnsi="Arial"/>
                <w:sz w:val="14"/>
                <w:szCs w:val="14"/>
                <w:color w:val="0000EE"/>
              </w:rPr>
            </w:pPr>
            <w:hyperlink w:anchor="page185">
              <w:r>
                <w:rPr>
                  <w:rFonts w:ascii="Arial" w:cs="Arial" w:eastAsia="Arial" w:hAnsi="Arial"/>
                  <w:sz w:val="14"/>
                  <w:szCs w:val="14"/>
                  <w:color w:val="0000EE"/>
                </w:rPr>
                <w:t>Registration Statement)</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top w:val="single" w:sz="8" w:color="0000EE"/>
              <w:bottom w:val="single" w:sz="8" w:color="auto"/>
            </w:tcBorders>
          </w:tcPr>
          <w:p>
            <w:pPr>
              <w:spacing w:after="0"/>
              <w:rPr>
                <w:sz w:val="16"/>
                <w:szCs w:val="16"/>
                <w:color w:val="auto"/>
              </w:rPr>
            </w:pPr>
          </w:p>
        </w:tc>
        <w:tc>
          <w:tcPr>
            <w:tcW w:w="900" w:type="dxa"/>
            <w:vAlign w:val="bottom"/>
            <w:tcBorders>
              <w:top w:val="single" w:sz="8" w:color="0000EE"/>
              <w:bottom w:val="single" w:sz="8" w:color="auto"/>
            </w:tcBorders>
          </w:tcPr>
          <w:p>
            <w:pPr>
              <w:spacing w:after="0"/>
              <w:rPr>
                <w:sz w:val="16"/>
                <w:szCs w:val="16"/>
                <w:color w:val="auto"/>
              </w:rPr>
            </w:pPr>
          </w:p>
        </w:tc>
        <w:tc>
          <w:tcPr>
            <w:tcW w:w="300" w:type="dxa"/>
            <w:vAlign w:val="bottom"/>
            <w:tcBorders>
              <w:top w:val="single" w:sz="8" w:color="0000EE"/>
              <w:bottom w:val="single" w:sz="8" w:color="auto"/>
            </w:tcBorders>
          </w:tcPr>
          <w:p>
            <w:pPr>
              <w:spacing w:after="0"/>
              <w:rPr>
                <w:sz w:val="16"/>
                <w:szCs w:val="16"/>
                <w:color w:val="auto"/>
              </w:rPr>
            </w:pPr>
          </w:p>
        </w:tc>
        <w:tc>
          <w:tcPr>
            <w:tcW w:w="140" w:type="dxa"/>
            <w:vAlign w:val="bottom"/>
            <w:tcBorders>
              <w:top w:val="single" w:sz="8" w:color="0000EE"/>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172" w:lineRule="exact"/>
        <w:rPr>
          <w:sz w:val="20"/>
          <w:szCs w:val="20"/>
          <w:color w:val="auto"/>
        </w:rPr>
      </w:pPr>
    </w:p>
    <w:p>
      <w:pPr>
        <w:ind w:left="1140" w:hanging="566"/>
        <w:spacing w:after="0"/>
        <w:tabs>
          <w:tab w:leader="none" w:pos="11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p>
    <w:p>
      <w:pPr>
        <w:ind w:left="1140" w:hanging="566"/>
        <w:spacing w:after="0" w:line="271" w:lineRule="auto"/>
        <w:tabs>
          <w:tab w:leader="none" w:pos="1140" w:val="left"/>
        </w:tabs>
        <w:numPr>
          <w:ilvl w:val="1"/>
          <w:numId w:val="76"/>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The Company agrees to furnish supplementally a copy of any omitted schedule or exhibit to the SEC upon request.</w:t>
      </w:r>
    </w:p>
    <w:p>
      <w:pPr>
        <w:spacing w:after="0" w:line="141" w:lineRule="exact"/>
        <w:rPr>
          <w:rFonts w:ascii="Arial" w:cs="Arial" w:eastAsia="Arial" w:hAnsi="Arial"/>
          <w:sz w:val="14"/>
          <w:szCs w:val="14"/>
          <w:color w:val="auto"/>
        </w:rPr>
      </w:pPr>
    </w:p>
    <w:p>
      <w:pPr>
        <w:ind w:left="200" w:hanging="194"/>
        <w:spacing w:after="0"/>
        <w:tabs>
          <w:tab w:leader="none" w:pos="2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82" w:lineRule="exact"/>
        <w:rPr>
          <w:sz w:val="20"/>
          <w:szCs w:val="20"/>
          <w:color w:val="auto"/>
        </w:rPr>
      </w:pPr>
    </w:p>
    <w:p>
      <w:pPr>
        <w:ind w:left="5540" w:right="1060" w:hanging="5272"/>
        <w:spacing w:after="0" w:line="542" w:lineRule="auto"/>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financial statements or notes thereto.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60260" cy="13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39"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color w:val="auto"/>
        </w:rPr>
        <w:t>Item 17. Undertakings.</w:t>
      </w:r>
    </w:p>
    <w:p>
      <w:pPr>
        <w:spacing w:after="0" w:line="186" w:lineRule="exact"/>
        <w:rPr>
          <w:sz w:val="20"/>
          <w:szCs w:val="20"/>
          <w:color w:val="auto"/>
        </w:rPr>
      </w:pPr>
    </w:p>
    <w:p>
      <w:pPr>
        <w:ind w:left="520" w:hanging="257"/>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undersigned registrant hereby undertakes as follows:</w:t>
      </w:r>
    </w:p>
    <w:p>
      <w:pPr>
        <w:spacing w:after="0" w:line="182" w:lineRule="exact"/>
        <w:rPr>
          <w:rFonts w:ascii="Arial" w:cs="Arial" w:eastAsia="Arial" w:hAnsi="Arial"/>
          <w:sz w:val="14"/>
          <w:szCs w:val="14"/>
          <w:color w:val="auto"/>
        </w:rPr>
      </w:pPr>
    </w:p>
    <w:p>
      <w:pPr>
        <w:ind w:left="780" w:hanging="259"/>
        <w:spacing w:after="0"/>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182" w:lineRule="exact"/>
        <w:rPr>
          <w:rFonts w:ascii="Arial" w:cs="Arial" w:eastAsia="Arial" w:hAnsi="Arial"/>
          <w:sz w:val="14"/>
          <w:szCs w:val="14"/>
          <w:color w:val="auto"/>
        </w:rPr>
      </w:pPr>
    </w:p>
    <w:p>
      <w:pPr>
        <w:ind w:left="1040" w:hanging="262"/>
        <w:spacing w:after="0"/>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182" w:lineRule="exact"/>
        <w:rPr>
          <w:rFonts w:ascii="Arial" w:cs="Arial" w:eastAsia="Arial" w:hAnsi="Arial"/>
          <w:sz w:val="14"/>
          <w:szCs w:val="14"/>
          <w:color w:val="auto"/>
        </w:rPr>
      </w:pPr>
    </w:p>
    <w:p>
      <w:pPr>
        <w:jc w:val="both"/>
        <w:ind w:left="1040" w:hanging="262"/>
        <w:spacing w:after="0" w:line="262" w:lineRule="auto"/>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47" w:lineRule="exact"/>
        <w:rPr>
          <w:rFonts w:ascii="Arial" w:cs="Arial" w:eastAsia="Arial" w:hAnsi="Arial"/>
          <w:sz w:val="14"/>
          <w:szCs w:val="14"/>
          <w:color w:val="auto"/>
        </w:rPr>
      </w:pPr>
    </w:p>
    <w:p>
      <w:pPr>
        <w:ind w:left="1040" w:hanging="262"/>
        <w:spacing w:after="0" w:line="286" w:lineRule="auto"/>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4"/>
          <w:szCs w:val="14"/>
          <w:color w:val="auto"/>
        </w:rPr>
      </w:pPr>
    </w:p>
    <w:p>
      <w:pPr>
        <w:ind w:left="780" w:hanging="259"/>
        <w:spacing w:after="0" w:line="286" w:lineRule="auto"/>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4"/>
          <w:szCs w:val="14"/>
          <w:color w:val="auto"/>
        </w:rPr>
      </w:pPr>
    </w:p>
    <w:p>
      <w:pPr>
        <w:ind w:left="780" w:hanging="259"/>
        <w:spacing w:after="0"/>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82" w:lineRule="exact"/>
        <w:rPr>
          <w:rFonts w:ascii="Arial" w:cs="Arial" w:eastAsia="Arial" w:hAnsi="Arial"/>
          <w:sz w:val="14"/>
          <w:szCs w:val="14"/>
          <w:color w:val="auto"/>
        </w:rPr>
      </w:pPr>
    </w:p>
    <w:p>
      <w:pPr>
        <w:jc w:val="both"/>
        <w:ind w:left="780" w:hanging="259"/>
        <w:spacing w:after="0" w:line="262" w:lineRule="auto"/>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7" w:lineRule="exact"/>
        <w:rPr>
          <w:rFonts w:ascii="Arial" w:cs="Arial" w:eastAsia="Arial" w:hAnsi="Arial"/>
          <w:sz w:val="14"/>
          <w:szCs w:val="14"/>
          <w:color w:val="auto"/>
        </w:rPr>
      </w:pPr>
    </w:p>
    <w:p>
      <w:pPr>
        <w:jc w:val="both"/>
        <w:ind w:left="780" w:hanging="259"/>
        <w:spacing w:after="0" w:line="266" w:lineRule="auto"/>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4" w:lineRule="exact"/>
        <w:rPr>
          <w:rFonts w:ascii="Arial" w:cs="Arial" w:eastAsia="Arial" w:hAnsi="Arial"/>
          <w:sz w:val="14"/>
          <w:szCs w:val="14"/>
          <w:color w:val="auto"/>
        </w:rPr>
      </w:pPr>
    </w:p>
    <w:p>
      <w:pPr>
        <w:ind w:left="1040" w:hanging="262"/>
        <w:spacing w:after="0"/>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4"/>
          <w:szCs w:val="14"/>
          <w:color w:val="auto"/>
        </w:rPr>
      </w:pPr>
    </w:p>
    <w:p>
      <w:pPr>
        <w:ind w:left="1040" w:hanging="262"/>
        <w:spacing w:after="0"/>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182" w:lineRule="exact"/>
        <w:rPr>
          <w:rFonts w:ascii="Arial" w:cs="Arial" w:eastAsia="Arial" w:hAnsi="Arial"/>
          <w:sz w:val="14"/>
          <w:szCs w:val="14"/>
          <w:color w:val="auto"/>
        </w:rPr>
      </w:pPr>
    </w:p>
    <w:p>
      <w:pPr>
        <w:ind w:left="1040" w:hanging="262"/>
        <w:spacing w:after="0" w:line="286" w:lineRule="auto"/>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our securities provided by or on behalf of the undersigned registrant; and</w:t>
      </w:r>
    </w:p>
    <w:p>
      <w:pPr>
        <w:spacing w:after="0" w:line="131" w:lineRule="exact"/>
        <w:rPr>
          <w:rFonts w:ascii="Arial" w:cs="Arial" w:eastAsia="Arial" w:hAnsi="Arial"/>
          <w:sz w:val="14"/>
          <w:szCs w:val="14"/>
          <w:color w:val="auto"/>
        </w:rPr>
      </w:pPr>
    </w:p>
    <w:p>
      <w:pPr>
        <w:ind w:left="1040" w:hanging="262"/>
        <w:spacing w:after="0"/>
        <w:tabs>
          <w:tab w:leader="none" w:pos="1040" w:val="left"/>
        </w:tabs>
        <w:numPr>
          <w:ilvl w:val="2"/>
          <w:numId w:val="77"/>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182" w:lineRule="exact"/>
        <w:rPr>
          <w:rFonts w:ascii="Arial" w:cs="Arial" w:eastAsia="Arial" w:hAnsi="Arial"/>
          <w:sz w:val="14"/>
          <w:szCs w:val="14"/>
          <w:color w:val="auto"/>
        </w:rPr>
      </w:pPr>
    </w:p>
    <w:p>
      <w:pPr>
        <w:jc w:val="both"/>
        <w:ind w:left="520" w:hanging="257"/>
        <w:spacing w:after="0" w:line="285" w:lineRule="auto"/>
        <w:tabs>
          <w:tab w:leader="none" w:pos="5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7160260"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4"/>
          <w:szCs w:val="14"/>
          <w:b w:val="1"/>
          <w:bCs w:val="1"/>
          <w:color w:val="auto"/>
        </w:rPr>
        <w:t>SIGNATURES</w:t>
      </w:r>
    </w:p>
    <w:p>
      <w:pPr>
        <w:spacing w:after="0" w:line="186" w:lineRule="exact"/>
        <w:rPr>
          <w:sz w:val="20"/>
          <w:szCs w:val="20"/>
          <w:color w:val="auto"/>
        </w:rPr>
      </w:pPr>
    </w:p>
    <w:p>
      <w:pPr>
        <w:jc w:val="both"/>
        <w:ind w:firstLine="258"/>
        <w:spacing w:after="0" w:line="286" w:lineRule="auto"/>
        <w:rPr>
          <w:sz w:val="20"/>
          <w:szCs w:val="20"/>
          <w:color w:val="auto"/>
        </w:rPr>
      </w:pPr>
      <w:r>
        <w:rPr>
          <w:rFonts w:ascii="Arial" w:cs="Arial" w:eastAsia="Arial" w:hAnsi="Arial"/>
          <w:sz w:val="14"/>
          <w:szCs w:val="14"/>
          <w:color w:val="auto"/>
        </w:rPr>
        <w:t>Pursuant to the requirements of the Securities Act of 1933, the Company has duly caused this Registration Statement to be signed on its behalf by the undersigned, thereunto duly authorized in the Sioux Falls, State of South Dakota, on this 3rd day of December, 2021.</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SAB BIOTHERAPEUTICS, INC.</w:t>
      </w:r>
    </w:p>
    <w:p>
      <w:pPr>
        <w:spacing w:after="0" w:line="186" w:lineRule="exact"/>
        <w:rPr>
          <w:sz w:val="20"/>
          <w:szCs w:val="20"/>
          <w:color w:val="auto"/>
        </w:rPr>
      </w:pPr>
    </w:p>
    <w:p>
      <w:pPr>
        <w:ind w:left="5640"/>
        <w:spacing w:after="0"/>
        <w:tabs>
          <w:tab w:leader="none" w:pos="59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i w:val="1"/>
          <w:iCs w:val="1"/>
          <w:color w:val="auto"/>
        </w:rPr>
        <w:t>/s/ Eddie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13335</wp:posOffset>
            </wp:positionV>
            <wp:extent cx="3358515"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3358515" cy="13335"/>
                    </a:xfrm>
                    <a:prstGeom prst="rect">
                      <a:avLst/>
                    </a:prstGeom>
                    <a:noFill/>
                  </pic:spPr>
                </pic:pic>
              </a:graphicData>
            </a:graphic>
          </wp:anchor>
        </w:drawing>
      </w:r>
    </w:p>
    <w:p>
      <w:pPr>
        <w:spacing w:after="0" w:line="12"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Eddie Sullivan</w:t>
      </w:r>
    </w:p>
    <w:p>
      <w:pPr>
        <w:spacing w:after="0" w:line="20"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President and Chief Executive Officer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86"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Eddie J. Sullivan and Russell Beyer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4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/s/ Eddie J. Sullivan, Ph.D.</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President and Chief Executive Officer and 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4"/>
              </w:rPr>
              <w:t>Eddie J. Sullivan, Ph.D.</w:t>
            </w:r>
          </w:p>
        </w:tc>
        <w:tc>
          <w:tcPr>
            <w:tcW w:w="5640" w:type="dxa"/>
            <w:vAlign w:val="bottom"/>
            <w:gridSpan w:val="3"/>
          </w:tcPr>
          <w:p>
            <w:pPr>
              <w:ind w:left="220"/>
              <w:spacing w:after="0"/>
              <w:rPr>
                <w:sz w:val="20"/>
                <w:szCs w:val="20"/>
                <w:color w:val="auto"/>
              </w:rPr>
            </w:pPr>
            <w:r>
              <w:rPr>
                <w:rFonts w:ascii="Arial" w:cs="Arial" w:eastAsia="Arial" w:hAnsi="Arial"/>
                <w:sz w:val="14"/>
                <w:szCs w:val="14"/>
                <w:i w:val="1"/>
                <w:iCs w:val="1"/>
                <w:color w:val="auto"/>
              </w:rPr>
              <w:t>(Principal Executive Officer)</w:t>
            </w: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 Russell Beyer</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 xml:space="preserve">Chief Financial Officer </w:t>
            </w:r>
            <w:r>
              <w:rPr>
                <w:rFonts w:ascii="Arial" w:cs="Arial" w:eastAsia="Arial" w:hAnsi="Arial"/>
                <w:sz w:val="14"/>
                <w:szCs w:val="14"/>
                <w:i w:val="1"/>
                <w:iCs w:val="1"/>
                <w:color w:val="auto"/>
              </w:rPr>
              <w:t>(Principal Financial Officer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2"/>
              </w:rPr>
              <w:t>Russell Beyer</w:t>
            </w:r>
          </w:p>
        </w:tc>
        <w:tc>
          <w:tcPr>
            <w:tcW w:w="5640" w:type="dxa"/>
            <w:vAlign w:val="bottom"/>
            <w:gridSpan w:val="3"/>
          </w:tcPr>
          <w:p>
            <w:pPr>
              <w:ind w:left="220"/>
              <w:spacing w:after="0"/>
              <w:rPr>
                <w:sz w:val="20"/>
                <w:szCs w:val="20"/>
                <w:color w:val="auto"/>
              </w:rPr>
            </w:pPr>
            <w:r>
              <w:rPr>
                <w:rFonts w:ascii="Arial" w:cs="Arial" w:eastAsia="Arial" w:hAnsi="Arial"/>
                <w:sz w:val="14"/>
                <w:szCs w:val="14"/>
                <w:i w:val="1"/>
                <w:iCs w:val="1"/>
                <w:color w:val="auto"/>
              </w:rPr>
              <w:t>and Principal Accounting Officer)</w:t>
            </w: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 Samuel J. Reich</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 and Executive Chairman</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0"/>
              </w:rPr>
              <w:t>Samuel J. Reich</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/s/ David Link</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rPr>
              <w:t>David Link</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/s/ Christine Hamilton, MBA</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8"/>
              </w:rPr>
              <w:t>Christine Hamilton, MBA</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William Polvino, MD, PhD</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9"/>
              </w:rPr>
              <w:t>William Polvino, MD, PhD</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 Jeffrey G. Spragens</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1"/>
              </w:rPr>
              <w:t>Jeffrey G. Spragens</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/s/ Mervyn Turner, PhD</w:t>
            </w:r>
          </w:p>
        </w:tc>
        <w:tc>
          <w:tcPr>
            <w:tcW w:w="5640" w:type="dxa"/>
            <w:vAlign w:val="bottom"/>
            <w:gridSpan w:val="3"/>
          </w:tcPr>
          <w:p>
            <w:pPr>
              <w:ind w:left="220"/>
              <w:spacing w:after="0"/>
              <w:rPr>
                <w:sz w:val="20"/>
                <w:szCs w:val="20"/>
                <w:color w:val="auto"/>
              </w:rPr>
            </w:pPr>
            <w:r>
              <w:rPr>
                <w:rFonts w:ascii="Arial" w:cs="Arial" w:eastAsia="Arial" w:hAnsi="Arial"/>
                <w:sz w:val="14"/>
                <w:szCs w:val="14"/>
                <w:color w:val="auto"/>
              </w:rPr>
              <w:t>Director</w:t>
            </w:r>
          </w:p>
        </w:tc>
        <w:tc>
          <w:tcPr>
            <w:tcW w:w="2020" w:type="dxa"/>
            <w:vAlign w:val="bottom"/>
          </w:tcPr>
          <w:p>
            <w:pPr>
              <w:jc w:val="center"/>
              <w:spacing w:after="0"/>
              <w:rPr>
                <w:sz w:val="20"/>
                <w:szCs w:val="20"/>
                <w:color w:val="auto"/>
              </w:rPr>
            </w:pPr>
            <w:r>
              <w:rPr>
                <w:rFonts w:ascii="Arial" w:cs="Arial" w:eastAsia="Arial" w:hAnsi="Arial"/>
                <w:sz w:val="14"/>
                <w:szCs w:val="14"/>
                <w:color w:val="auto"/>
                <w:w w:val="92"/>
              </w:rPr>
              <w:t>December 3, 2021</w:t>
            </w:r>
          </w:p>
        </w:tc>
      </w:tr>
      <w:tr>
        <w:trPr>
          <w:trHeight w:val="181"/>
        </w:trPr>
        <w:tc>
          <w:tcPr>
            <w:tcW w:w="3620" w:type="dxa"/>
            <w:vAlign w:val="bottom"/>
          </w:tcPr>
          <w:p>
            <w:pPr>
              <w:jc w:val="center"/>
              <w:spacing w:after="0"/>
              <w:rPr>
                <w:sz w:val="20"/>
                <w:szCs w:val="20"/>
                <w:color w:val="auto"/>
              </w:rPr>
            </w:pPr>
            <w:r>
              <w:rPr>
                <w:rFonts w:ascii="Arial" w:cs="Arial" w:eastAsia="Arial" w:hAnsi="Arial"/>
                <w:sz w:val="14"/>
                <w:szCs w:val="14"/>
                <w:color w:val="auto"/>
                <w:w w:val="93"/>
              </w:rPr>
              <w:t>Mervyn Turner, PhD</w:t>
            </w:r>
          </w:p>
        </w:tc>
        <w:tc>
          <w:tcPr>
            <w:tcW w:w="2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33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ind w:left="1700"/>
              <w:spacing w:after="0"/>
              <w:rPr>
                <w:sz w:val="20"/>
                <w:szCs w:val="20"/>
                <w:color w:val="auto"/>
              </w:rPr>
            </w:pPr>
            <w:r>
              <w:rPr>
                <w:rFonts w:ascii="Arial" w:cs="Arial" w:eastAsia="Arial" w:hAnsi="Arial"/>
                <w:sz w:val="14"/>
                <w:szCs w:val="14"/>
                <w:color w:val="auto"/>
              </w:rPr>
              <w:t>II-5</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4"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4"/>
          <w:szCs w:val="14"/>
          <w:u w:val="single" w:color="auto"/>
          <w:color w:val="auto"/>
        </w:rPr>
        <w:t>EXHIBIT 5.1</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1049020" cy="1974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1049020" cy="1974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1221 Avenue of the Americas</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New York, NY 10020-1089</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5327015</wp:posOffset>
            </wp:positionH>
            <wp:positionV relativeFrom="paragraph">
              <wp:posOffset>113665</wp:posOffset>
            </wp:positionV>
            <wp:extent cx="207645" cy="1155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207645" cy="115570"/>
                    </a:xfrm>
                    <a:prstGeom prst="rect">
                      <a:avLst/>
                    </a:prstGeom>
                    <a:noFill/>
                  </pic:spPr>
                </pic:pic>
              </a:graphicData>
            </a:graphic>
          </wp:anchor>
        </w:drawing>
      </w:r>
    </w:p>
    <w:p>
      <w:pPr>
        <w:spacing w:after="0" w:line="159" w:lineRule="exact"/>
        <w:rPr>
          <w:sz w:val="20"/>
          <w:szCs w:val="20"/>
          <w:color w:val="auto"/>
        </w:rPr>
      </w:pPr>
    </w:p>
    <w:p>
      <w:pPr>
        <w:jc w:val="right"/>
        <w:spacing w:after="0" w:line="170" w:lineRule="exact"/>
        <w:rPr>
          <w:sz w:val="20"/>
          <w:szCs w:val="20"/>
          <w:color w:val="auto"/>
        </w:rPr>
      </w:pPr>
      <w:r>
        <w:rPr>
          <w:rFonts w:ascii="SimSun" w:cs="SimSun" w:eastAsia="SimSun" w:hAnsi="SimSun"/>
          <w:sz w:val="14"/>
          <w:szCs w:val="14"/>
          <w:color w:val="auto"/>
        </w:rPr>
        <w:t>大成</w:t>
      </w:r>
      <w:r>
        <w:rPr>
          <w:rFonts w:ascii="Arial" w:cs="Arial" w:eastAsia="Arial" w:hAnsi="Arial"/>
          <w:sz w:val="14"/>
          <w:szCs w:val="14"/>
          <w:b w:val="1"/>
          <w:bCs w:val="1"/>
          <w:color w:val="auto"/>
        </w:rPr>
        <w:t xml:space="preserve"> Salans FMC SNR Denton McKenna Long</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dentons.com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December 3,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SAB Biotherapeutics, Inc.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2100 East 54th Street North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Sioux Falls, South Dakota 57104</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You have requested our opinion with respect to certain matters in connection with the filing by SAB Biotherapeutics,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of a Registration Statement on Form S-1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with the Securities and Exchange Commission filed on December 3, 2021, including a related prospectus filed with the Registration Statement (the “</w:t>
      </w:r>
      <w:r>
        <w:rPr>
          <w:rFonts w:ascii="Arial" w:cs="Arial" w:eastAsia="Arial" w:hAnsi="Arial"/>
          <w:sz w:val="14"/>
          <w:szCs w:val="14"/>
          <w:b w:val="1"/>
          <w:bCs w:val="1"/>
          <w:color w:val="auto"/>
        </w:rPr>
        <w:t>Prospectus</w:t>
      </w:r>
      <w:r>
        <w:rPr>
          <w:rFonts w:ascii="Arial" w:cs="Arial" w:eastAsia="Arial" w:hAnsi="Arial"/>
          <w:sz w:val="14"/>
          <w:szCs w:val="14"/>
          <w:color w:val="auto"/>
        </w:rPr>
        <w:t>”), covering the registration of (a) the issuance of shares of common stock, par value of $0.0001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of the Company upon the exercise of warrants issued by the Company, and (b) the resale of Common Stock and warrants issued by the Company held by certain stockholders and holders of outstanding warrants of the Company (the “Selling Stockholders”), as follows:</w:t>
      </w:r>
    </w:p>
    <w:p>
      <w:pPr>
        <w:spacing w:after="0" w:line="145" w:lineRule="exact"/>
        <w:rPr>
          <w:sz w:val="20"/>
          <w:szCs w:val="20"/>
          <w:color w:val="auto"/>
        </w:rPr>
      </w:pPr>
    </w:p>
    <w:p>
      <w:pPr>
        <w:ind w:left="520" w:hanging="514"/>
        <w:spacing w:after="0" w:line="286"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issuance of up to 208,600 shares of Common Stock (the “</w:t>
      </w:r>
      <w:r>
        <w:rPr>
          <w:rFonts w:ascii="Arial" w:cs="Arial" w:eastAsia="Arial" w:hAnsi="Arial"/>
          <w:sz w:val="14"/>
          <w:szCs w:val="14"/>
          <w:b w:val="1"/>
          <w:bCs w:val="1"/>
          <w:i w:val="1"/>
          <w:iCs w:val="1"/>
          <w:color w:val="auto"/>
        </w:rPr>
        <w:t>Private Warrant Shares</w:t>
      </w:r>
      <w:r>
        <w:rPr>
          <w:rFonts w:ascii="Arial" w:cs="Arial" w:eastAsia="Arial" w:hAnsi="Arial"/>
          <w:sz w:val="14"/>
          <w:szCs w:val="14"/>
          <w:color w:val="auto"/>
        </w:rPr>
        <w:t>”) upon the exercise of warrants issued in a private placement to Big Cypress Holdings LLC, in connection with the initial public offering of Big Cypress Acquisition Corp. (the “</w:t>
      </w:r>
      <w:r>
        <w:rPr>
          <w:rFonts w:ascii="Arial" w:cs="Arial" w:eastAsia="Arial" w:hAnsi="Arial"/>
          <w:sz w:val="14"/>
          <w:szCs w:val="14"/>
          <w:b w:val="1"/>
          <w:bCs w:val="1"/>
          <w:i w:val="1"/>
          <w:iCs w:val="1"/>
          <w:color w:val="auto"/>
        </w:rPr>
        <w:t>Private Warrants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520" w:hanging="514"/>
        <w:spacing w:after="0" w:line="286"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issuance of up to 5,750,000 shares of Common Stock (the “</w:t>
      </w:r>
      <w:r>
        <w:rPr>
          <w:rFonts w:ascii="Arial" w:cs="Arial" w:eastAsia="Arial" w:hAnsi="Arial"/>
          <w:sz w:val="14"/>
          <w:szCs w:val="14"/>
          <w:b w:val="1"/>
          <w:bCs w:val="1"/>
          <w:i w:val="1"/>
          <w:iCs w:val="1"/>
          <w:color w:val="auto"/>
        </w:rPr>
        <w:t>Public Warrant Shares</w:t>
      </w:r>
      <w:r>
        <w:rPr>
          <w:rFonts w:ascii="Arial" w:cs="Arial" w:eastAsia="Arial" w:hAnsi="Arial"/>
          <w:sz w:val="14"/>
          <w:szCs w:val="14"/>
          <w:color w:val="auto"/>
        </w:rPr>
        <w:t>” and, together with the Private Warrant Shares, the “</w:t>
      </w:r>
      <w:r>
        <w:rPr>
          <w:rFonts w:ascii="Arial" w:cs="Arial" w:eastAsia="Arial" w:hAnsi="Arial"/>
          <w:sz w:val="14"/>
          <w:szCs w:val="14"/>
          <w:b w:val="1"/>
          <w:bCs w:val="1"/>
          <w:i w:val="1"/>
          <w:iCs w:val="1"/>
          <w:color w:val="auto"/>
        </w:rPr>
        <w:t>Warrant Shares</w:t>
      </w:r>
      <w:r>
        <w:rPr>
          <w:rFonts w:ascii="Arial" w:cs="Arial" w:eastAsia="Arial" w:hAnsi="Arial"/>
          <w:sz w:val="14"/>
          <w:szCs w:val="14"/>
          <w:color w:val="auto"/>
        </w:rPr>
        <w:t>”) upon the exercise of warrants issued in the initial public offering (together with the Private Warrants, the “</w:t>
      </w:r>
      <w:r>
        <w:rPr>
          <w:rFonts w:ascii="Arial" w:cs="Arial" w:eastAsia="Arial" w:hAnsi="Arial"/>
          <w:sz w:val="14"/>
          <w:szCs w:val="14"/>
          <w:b w:val="1"/>
          <w:bCs w:val="1"/>
          <w:i w:val="1"/>
          <w:iCs w:val="1"/>
          <w:color w:val="auto"/>
        </w:rPr>
        <w:t>Warrants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520" w:hanging="514"/>
        <w:spacing w:after="0" w:line="286"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resale of up to 14,434,301 shares of Common Stock (the “</w:t>
      </w:r>
      <w:r>
        <w:rPr>
          <w:rFonts w:ascii="Arial" w:cs="Arial" w:eastAsia="Arial" w:hAnsi="Arial"/>
          <w:sz w:val="14"/>
          <w:szCs w:val="14"/>
          <w:b w:val="1"/>
          <w:bCs w:val="1"/>
          <w:i w:val="1"/>
          <w:iCs w:val="1"/>
          <w:color w:val="auto"/>
        </w:rPr>
        <w:t>Selling Stockholder Shares</w:t>
      </w:r>
      <w:r>
        <w:rPr>
          <w:rFonts w:ascii="Arial" w:cs="Arial" w:eastAsia="Arial" w:hAnsi="Arial"/>
          <w:sz w:val="14"/>
          <w:szCs w:val="14"/>
          <w:color w:val="auto"/>
        </w:rPr>
        <w:t>”) by the Selling Stockholders named in the Prospectus or their permitted transferees, which consists of:</w:t>
      </w:r>
    </w:p>
    <w:p>
      <w:pPr>
        <w:spacing w:after="0" w:line="131" w:lineRule="exact"/>
        <w:rPr>
          <w:rFonts w:ascii="Arial" w:cs="Arial" w:eastAsia="Arial" w:hAnsi="Arial"/>
          <w:sz w:val="14"/>
          <w:szCs w:val="14"/>
          <w:color w:val="auto"/>
        </w:rPr>
      </w:pPr>
    </w:p>
    <w:p>
      <w:pPr>
        <w:ind w:left="980" w:hanging="202"/>
        <w:spacing w:after="0"/>
        <w:tabs>
          <w:tab w:leader="none" w:pos="9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3,047,825 shares issued in a private placement to the Sponsor pursuant to the Securities Subscription Agreement, dated November 12, 2020</w:t>
      </w:r>
    </w:p>
    <w:p>
      <w:pPr>
        <w:spacing w:after="0" w:line="182" w:lineRule="exact"/>
        <w:rPr>
          <w:rFonts w:ascii="Arial" w:cs="Arial" w:eastAsia="Arial" w:hAnsi="Arial"/>
          <w:sz w:val="14"/>
          <w:szCs w:val="14"/>
          <w:color w:val="auto"/>
        </w:rPr>
      </w:pPr>
    </w:p>
    <w:p>
      <w:pPr>
        <w:ind w:left="980" w:hanging="202"/>
        <w:spacing w:after="0"/>
        <w:tabs>
          <w:tab w:leader="none" w:pos="9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10,685,978 shares issued to Christine Hamilton, Director of SAB Biotherapeutics, Inc. (the “Company”)</w:t>
      </w:r>
    </w:p>
    <w:p>
      <w:pPr>
        <w:spacing w:after="0" w:line="182" w:lineRule="exact"/>
        <w:rPr>
          <w:rFonts w:ascii="Arial" w:cs="Arial" w:eastAsia="Arial" w:hAnsi="Arial"/>
          <w:sz w:val="14"/>
          <w:szCs w:val="14"/>
          <w:color w:val="auto"/>
        </w:rPr>
      </w:pPr>
    </w:p>
    <w:p>
      <w:pPr>
        <w:ind w:left="980" w:hanging="202"/>
        <w:spacing w:after="0"/>
        <w:tabs>
          <w:tab w:leader="none" w:pos="9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244,373 shares issued to Ladenburg Thalmann &amp; Co. Inc. (“Ladenburg”) and certain of its employees, and</w:t>
      </w:r>
    </w:p>
    <w:p>
      <w:pPr>
        <w:spacing w:after="0" w:line="182" w:lineRule="exact"/>
        <w:rPr>
          <w:rFonts w:ascii="Arial" w:cs="Arial" w:eastAsia="Arial" w:hAnsi="Arial"/>
          <w:sz w:val="14"/>
          <w:szCs w:val="14"/>
          <w:color w:val="auto"/>
        </w:rPr>
      </w:pPr>
    </w:p>
    <w:p>
      <w:pPr>
        <w:ind w:left="980" w:hanging="202"/>
        <w:spacing w:after="0"/>
        <w:tabs>
          <w:tab w:leader="none" w:pos="9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247,525 shares issued to Chardan Capital Markets LLC (“Chardan”) and certain of its employees and designees.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We are delivering this opinion to you at your request in accordance with the requirements of Item 601(b)(5) of Regulation S-K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231775</wp:posOffset>
            </wp:positionV>
            <wp:extent cx="7160260"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86" w:name="page187"/>
    <w:bookmarkEnd w:id="186"/>
    <w:tbl>
      <w:tblPr>
        <w:tblLayout w:type="fixed"/>
        <w:tblInd w:w="2820" w:type="dxa"/>
        <w:tblCellMar>
          <w:top w:w="0" w:type="dxa"/>
          <w:left w:w="0" w:type="dxa"/>
          <w:bottom w:w="0" w:type="dxa"/>
          <w:right w:w="0" w:type="dxa"/>
        </w:tblCellMar>
      </w:tblPr>
      <w:tr>
        <w:trPr>
          <w:trHeight w:val="172"/>
        </w:trPr>
        <w:tc>
          <w:tcPr>
            <w:tcW w:w="3560" w:type="dxa"/>
            <w:vAlign w:val="bottom"/>
          </w:tcPr>
          <w:p>
            <w:pPr>
              <w:spacing w:after="0"/>
              <w:rPr>
                <w:sz w:val="20"/>
                <w:szCs w:val="20"/>
                <w:color w:val="auto"/>
              </w:rPr>
            </w:pPr>
            <w:r>
              <w:rPr>
                <w:rFonts w:ascii="Arial" w:cs="Arial" w:eastAsia="Arial" w:hAnsi="Arial"/>
                <w:sz w:val="14"/>
                <w:szCs w:val="14"/>
                <w:color w:val="auto"/>
              </w:rPr>
              <w:t>SAB Biotherapeutics, Inc.</w:t>
            </w:r>
          </w:p>
        </w:tc>
        <w:tc>
          <w:tcPr>
            <w:tcW w:w="4900" w:type="dxa"/>
            <w:vAlign w:val="bottom"/>
          </w:tcPr>
          <w:p>
            <w:pPr>
              <w:jc w:val="right"/>
              <w:spacing w:after="0" w:line="170" w:lineRule="exact"/>
              <w:rPr>
                <w:sz w:val="20"/>
                <w:szCs w:val="20"/>
                <w:color w:val="auto"/>
              </w:rPr>
            </w:pPr>
            <w:r>
              <w:rPr>
                <w:rFonts w:ascii="SimSun" w:cs="SimSun" w:eastAsia="SimSun" w:hAnsi="SimSun"/>
                <w:sz w:val="14"/>
                <w:szCs w:val="14"/>
                <w:color w:val="auto"/>
              </w:rPr>
              <w:t>大成</w:t>
            </w:r>
            <w:r>
              <w:rPr>
                <w:rFonts w:ascii="Arial" w:cs="Arial" w:eastAsia="Arial" w:hAnsi="Arial"/>
                <w:sz w:val="14"/>
                <w:szCs w:val="14"/>
                <w:b w:val="1"/>
                <w:bCs w:val="1"/>
                <w:color w:val="auto"/>
              </w:rPr>
              <w:t xml:space="preserve"> Salans FMC SNR Denton McKenna Long</w:t>
            </w:r>
          </w:p>
        </w:tc>
      </w:tr>
      <w:tr>
        <w:trPr>
          <w:trHeight w:val="172"/>
        </w:trPr>
        <w:tc>
          <w:tcPr>
            <w:tcW w:w="3560" w:type="dxa"/>
            <w:vAlign w:val="bottom"/>
          </w:tcPr>
          <w:p>
            <w:pPr>
              <w:spacing w:after="0"/>
              <w:rPr>
                <w:sz w:val="20"/>
                <w:szCs w:val="20"/>
                <w:color w:val="auto"/>
              </w:rPr>
            </w:pPr>
            <w:r>
              <w:rPr>
                <w:rFonts w:ascii="Arial" w:cs="Arial" w:eastAsia="Arial" w:hAnsi="Arial"/>
                <w:sz w:val="14"/>
                <w:szCs w:val="14"/>
                <w:color w:val="auto"/>
              </w:rPr>
              <w:t>December 3, 2021</w:t>
            </w:r>
          </w:p>
        </w:tc>
        <w:tc>
          <w:tcPr>
            <w:tcW w:w="4900" w:type="dxa"/>
            <w:vAlign w:val="bottom"/>
          </w:tcPr>
          <w:p>
            <w:pPr>
              <w:jc w:val="right"/>
              <w:spacing w:after="0"/>
              <w:rPr>
                <w:sz w:val="20"/>
                <w:szCs w:val="20"/>
                <w:color w:val="auto"/>
              </w:rPr>
            </w:pPr>
            <w:r>
              <w:rPr>
                <w:rFonts w:ascii="Arial" w:cs="Arial" w:eastAsia="Arial" w:hAnsi="Arial"/>
                <w:sz w:val="14"/>
                <w:szCs w:val="14"/>
                <w:b w:val="1"/>
                <w:bCs w:val="1"/>
                <w:color w:val="auto"/>
              </w:rPr>
              <w:t>dentons.com</w:t>
            </w:r>
          </w:p>
        </w:tc>
      </w:tr>
      <w:tr>
        <w:trPr>
          <w:trHeight w:val="181"/>
        </w:trPr>
        <w:tc>
          <w:tcPr>
            <w:tcW w:w="3560" w:type="dxa"/>
            <w:vAlign w:val="bottom"/>
          </w:tcPr>
          <w:p>
            <w:pPr>
              <w:spacing w:after="0"/>
              <w:rPr>
                <w:sz w:val="20"/>
                <w:szCs w:val="20"/>
                <w:color w:val="auto"/>
              </w:rPr>
            </w:pPr>
            <w:r>
              <w:rPr>
                <w:rFonts w:ascii="Arial" w:cs="Arial" w:eastAsia="Arial" w:hAnsi="Arial"/>
                <w:sz w:val="14"/>
                <w:szCs w:val="14"/>
                <w:color w:val="auto"/>
              </w:rPr>
              <w:t>Page 2</w:t>
            </w:r>
          </w:p>
        </w:tc>
        <w:tc>
          <w:tcPr>
            <w:tcW w:w="49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-325755</wp:posOffset>
            </wp:positionV>
            <wp:extent cx="1049020" cy="1974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1049020" cy="19748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-328930</wp:posOffset>
            </wp:positionV>
            <wp:extent cx="207645" cy="1155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207645" cy="115570"/>
                    </a:xfrm>
                    <a:prstGeom prst="rect">
                      <a:avLst/>
                    </a:prstGeom>
                    <a:noFill/>
                  </pic:spPr>
                </pic:pic>
              </a:graphicData>
            </a:graphic>
          </wp:anchor>
        </w:drawing>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rendering this opinion, we have examined and are familiar with (i) the Company’s Certificate of Incorporation, (ii) the Company’s By-Laws, (iii) the Registration Statement, including the Prospectus, (iv) corporate proceedings of the Company relating to the issuance of the Common Stock and the Warrants (v) the certificates evidencing the Warrants and (vi) such other instruments and documents as we have deemed relevant under the circumstances.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making the aforesaid examinations, we have assumed the genuineness of all signatures and the conformity to original documents of all copies furnished to us as original or photostatic copies. We have also assumed that the corporate records furnished to us by the Company include all corporate proceedings taken by the Company to date. As to certain factual matters, we have relied upon a certificate of officers of the Company and have not sought to independently verify such matters.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Based upon the foregoing, and in reliance thereon, and subject to the qualifications, limitations and exceptions stated herein, we are of the opinion, having due regard for such legal considerations as we deem relevant, that:</w:t>
      </w:r>
    </w:p>
    <w:p>
      <w:pPr>
        <w:spacing w:after="0" w:line="131" w:lineRule="exact"/>
        <w:rPr>
          <w:sz w:val="20"/>
          <w:szCs w:val="20"/>
          <w:color w:val="auto"/>
        </w:rPr>
      </w:pPr>
    </w:p>
    <w:p>
      <w:pPr>
        <w:ind w:left="520" w:hanging="257"/>
        <w:spacing w:after="0" w:line="286"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Warrant Shares, when issued and paid for upon exercise of the Warrants in accordance with the terms of the Warrants, will be duly authorized, validly issued, fully paid and non-assessable.</w:t>
      </w:r>
    </w:p>
    <w:p>
      <w:pPr>
        <w:spacing w:after="0" w:line="131" w:lineRule="exact"/>
        <w:rPr>
          <w:rFonts w:ascii="Arial" w:cs="Arial" w:eastAsia="Arial" w:hAnsi="Arial"/>
          <w:sz w:val="14"/>
          <w:szCs w:val="14"/>
          <w:color w:val="auto"/>
        </w:rPr>
      </w:pPr>
    </w:p>
    <w:p>
      <w:pPr>
        <w:ind w:left="520" w:hanging="257"/>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Warrants constitute valid and binding obligations of the Company.</w:t>
      </w:r>
    </w:p>
    <w:p>
      <w:pPr>
        <w:spacing w:after="0" w:line="182" w:lineRule="exact"/>
        <w:rPr>
          <w:rFonts w:ascii="Arial" w:cs="Arial" w:eastAsia="Arial" w:hAnsi="Arial"/>
          <w:sz w:val="14"/>
          <w:szCs w:val="14"/>
          <w:color w:val="auto"/>
        </w:rPr>
      </w:pPr>
    </w:p>
    <w:p>
      <w:pPr>
        <w:jc w:val="both"/>
        <w:ind w:left="520" w:hanging="257"/>
        <w:spacing w:after="0" w:line="271"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Selling Stockholder Shares other than any Warrant Shares included in the Selling Stockholder Shares are duly authorized, validly issued, fully paid and non-assessable. Any Warrant Shares included in the Selling Stockholder Shares, when issued and paid for in accordance with the terms of the Warrants, will be duly authorized, validly issued, fully paid and non-assessable..</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foregoing opinion is limited to laws of the State of New York and Delaware corporate law (which includes the Delaware General Corporation Law and applicable provisions of the Delaware constitution, as well as reported judicial opinions interpreting same), and we do not purport to express any opinion on the laws of any other jurisdiction.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hereby consent to the use of our opinion as an exhibit to the Registration Statement and to the reference to this firm and this opinion under the heading “Legal Matters” in the Registration Statement. In giving such consent, we do not hereby admit that we come within the category of persons whose consent is required under Section 7 of the Act, or the rules and regulations of the Commission thereunder.</w:t>
      </w:r>
    </w:p>
    <w:p>
      <w:pPr>
        <w:spacing w:after="0" w:line="14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Very truly yours,</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/s/ 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20320</wp:posOffset>
            </wp:positionV>
            <wp:extent cx="3576955"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3576955" cy="133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252095</wp:posOffset>
            </wp:positionV>
            <wp:extent cx="7160260" cy="133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580"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4"/>
          <w:szCs w:val="14"/>
          <w:b w:val="1"/>
          <w:bCs w:val="1"/>
          <w:color w:val="auto"/>
        </w:rPr>
        <w:t>Exhibit 23.1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INDEPENDENT REGISTERED PUBLIC ACCOUNTING FIRM’S CONSENT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consent to the inclusion in this Registration Statement of SAB Biotherapeutics, Inc. (f/k/a Big Cypress Acquisition Corp.) on Form S-1 of our report dated April 2, 2021, with respect to our audit of the financial statements of Big Cypress Acquisition Corp. (now known as SAB Biotherapeutics, Inc.) as of December 31, 2020 and for the period from November 12, 2020 (inception) through December 31, 2020, which report appears in the Prospectus, which is part of this Registration Statement. We were dismissed as auditors on November 15, 2021 and, accordingly, we have not performed any review or audit procedures with respect to any financial statements appearing in the prospectus for the periods after the date or our dismissal. We also consent to the reference to our Firm under the heading “Experts” in such Prospectus.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 Marcum </w:t>
      </w:r>
      <w:r>
        <w:rPr>
          <w:rFonts w:ascii="Arial" w:cs="Arial" w:eastAsia="Arial" w:hAnsi="Arial"/>
          <w:sz w:val="9"/>
          <w:szCs w:val="9"/>
          <w:i w:val="1"/>
          <w:iCs w:val="1"/>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3583940" cy="13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3583940" cy="1333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Marcum </w:t>
      </w:r>
      <w:r>
        <w:rPr>
          <w:rFonts w:ascii="Arial" w:cs="Arial" w:eastAsia="Arial" w:hAnsi="Arial"/>
          <w:sz w:val="9"/>
          <w:szCs w:val="9"/>
          <w:color w:val="auto"/>
        </w:rPr>
        <w:t>LLP</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New York, NY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4"/>
          <w:szCs w:val="14"/>
          <w:b w:val="1"/>
          <w:bCs w:val="1"/>
          <w:color w:val="auto"/>
        </w:rPr>
        <w:t>Exhibit 23.3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consent to the inclusion in this Registration Statement on Form S-1 and related prospectus of our reports dated June 17, 2021, with respect to the consolidated financial statements of SAB Biotherapeutics, Inc. and Subsidiaries (Company) as of December 31, 2020 and 2019 and for the two years then ended, and to the reference to us under the heading “Experts” in the prospectus, which is part of this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 Mayer Hoffman McCann P.C.</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December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60260" cy="13335"/>
                    </a:xfrm>
                    <a:prstGeom prst="rect">
                      <a:avLst/>
                    </a:prstGeom>
                    <a:noFill/>
                  </pic:spPr>
                </pic:pic>
              </a:graphicData>
            </a:graphic>
          </wp:anchor>
        </w:drawing>
      </w:r>
    </w:p>
    <w:sectPr>
      <w:pgSz w:w="11900" w:h="16838" w:orient="portrait"/>
      <w:cols w:equalWidth="0" w:num="1">
        <w:col w:w="11280"/>
      </w:cols>
      <w:pgMar w:left="300" w:top="29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lvl w:ilvl="1">
      <w:lvlJc w:val="left"/>
      <w:lvlText w:val="(%2)"/>
      <w:numFmt w:val="decimal"/>
      <w:start w:val="212"/>
    </w:lvl>
  </w:abstractNum>
  <w:abstractNum w:abstractNumId="1">
    <w:nsid w:val="580BD78F"/>
    <w:multiLevelType w:val="hybridMultilevel"/>
    <w:lvl w:ilvl="0">
      <w:lvlJc w:val="left"/>
      <w:lvlText w:val="(%1)"/>
      <w:numFmt w:val="decimal"/>
      <w:start w:val="212"/>
    </w:lvl>
    <w:lvl w:ilvl="1">
      <w:lvlJc w:val="left"/>
      <w:lvlText w:val="%2"/>
      <w:numFmt w:val="decimal"/>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5"/>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27"/>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2"/>
    </w:lvl>
  </w:abstractNum>
  <w:abstractNum w:abstractNumId="34">
    <w:nsid w:val="1CF10FD8"/>
    <w:multiLevelType w:val="hybridMultilevel"/>
    <w:lvl w:ilvl="0">
      <w:lvlJc w:val="left"/>
      <w:lvlText w:val="%1."/>
      <w:numFmt w:val="decimal"/>
      <w:start w:val="3"/>
    </w:lvl>
  </w:abstractNum>
  <w:abstractNum w:abstractNumId="35">
    <w:nsid w:val="180115BE"/>
    <w:multiLevelType w:val="hybridMultilevel"/>
    <w:lvl w:ilvl="0">
      <w:lvlJc w:val="left"/>
      <w:lvlText w:val="%1."/>
      <w:numFmt w:val="decimal"/>
      <w:start w:val="4"/>
    </w:lvl>
  </w:abstractNum>
  <w:abstractNum w:abstractNumId="36">
    <w:nsid w:val="235BA861"/>
    <w:multiLevelType w:val="hybridMultilevel"/>
    <w:lvl w:ilvl="0">
      <w:lvlJc w:val="left"/>
      <w:lvlText w:val="%1."/>
      <w:numFmt w:val="decimal"/>
      <w:start w:val="5"/>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lvl w:ilvl="1">
      <w:lvlJc w:val="left"/>
      <w:lvlText w:val="(%2)"/>
      <w:numFmt w:val="lowerRoman"/>
      <w:start w:val="3"/>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Roman"/>
      <w:start w:val="2"/>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lowerRoman"/>
      <w:start w:val="2"/>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lowerRoman"/>
      <w:start w:val="3"/>
    </w:lvl>
    <w:lvl w:ilvl="1">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2"/>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lowerLetter"/>
      <w:start w:val="25"/>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lowerRoman"/>
      <w:start w:val="10"/>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decimal"/>
      <w:start w:val="3"/>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lowerLetter"/>
      <w:start w:val="1"/>
    </w:lvl>
    <w:lvl w:ilvl="1">
      <w:lvlJc w:val="left"/>
      <w:lvlText w:val="+"/>
      <w:numFmt w:val="bullet"/>
      <w:start w:val="1"/>
    </w:lvl>
  </w:abstractNum>
  <w:abstractNum w:abstractNumId="76">
    <w:nsid w:val="A0382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7">
    <w:nsid w:val="8F2B15E"/>
    <w:multiLevelType w:val="hybridMultilevel"/>
    <w:lvl w:ilvl="0">
      <w:lvlJc w:val="left"/>
      <w:lvlText w:val="(%1)"/>
      <w:numFmt w:val="lowerRoman"/>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jpe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jpe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44" Type="http://schemas.openxmlformats.org/officeDocument/2006/relationships/hyperlink" Target="https://www.sec.gov/Archives/edgar/data/1833214/000149315221000842/ex1-1.htm" TargetMode="External"/><Relationship Id="rId245" Type="http://schemas.openxmlformats.org/officeDocument/2006/relationships/hyperlink" Target="https://www.sec.gov/Archives/edgar/data/1833214/000149315221023619/form424b3.htm" TargetMode="External"/><Relationship Id="rId246" Type="http://schemas.openxmlformats.org/officeDocument/2006/relationships/hyperlink" Target="https://www.sec.gov/Archives/edgar/data/1833214/000149315221026649/ex3-1.htm" TargetMode="External"/><Relationship Id="rId247" Type="http://schemas.openxmlformats.org/officeDocument/2006/relationships/hyperlink" Target="https://www.sec.gov/Archives/edgar/data/1833214/000149315221026649/ex3-2.htm" TargetMode="External"/><Relationship Id="rId248" Type="http://schemas.openxmlformats.org/officeDocument/2006/relationships/hyperlink" Target="https://www.sec.gov/Archives/edgar/data/1833214/000149315221000090/ex4-1.htm" TargetMode="External"/><Relationship Id="rId249" Type="http://schemas.openxmlformats.org/officeDocument/2006/relationships/hyperlink" Target="https://www.sec.gov/Archives/edgar/data/1833214/000149315221000090/ex4-2.htm" TargetMode="External"/><Relationship Id="rId250" Type="http://schemas.openxmlformats.org/officeDocument/2006/relationships/hyperlink" Target="https://www.sec.gov/Archives/edgar/data/1833214/000149315221000090/ex4-3.htm" TargetMode="External"/><Relationship Id="rId251" Type="http://schemas.openxmlformats.org/officeDocument/2006/relationships/hyperlink" Target="https://www.sec.gov/Archives/edgar/data/1833214/000149315221000090/ex4-4.htm" TargetMode="External"/><Relationship Id="rId252" Type="http://schemas.openxmlformats.org/officeDocument/2006/relationships/hyperlink" Target="https://www.sec.gov/Archives/edgar/data/1833214/000149315221026649/ex10-1.htm" TargetMode="External"/><Relationship Id="rId253" Type="http://schemas.openxmlformats.org/officeDocument/2006/relationships/hyperlink" Target="https://www.sec.gov/Archives/edgar/data/1833214/000149315221026649/ex10-2.htm" TargetMode="External"/><Relationship Id="rId254" Type="http://schemas.openxmlformats.org/officeDocument/2006/relationships/hyperlink" Target="https://www.sec.gov/Archives/edgar/data/1833214/000149315221026649/ex10-3.htm" TargetMode="External"/><Relationship Id="rId255" Type="http://schemas.openxmlformats.org/officeDocument/2006/relationships/hyperlink" Target="https://www.sec.gov/Archives/edgar/data/1833214/000149315221026649/ex10-4.htm" TargetMode="External"/><Relationship Id="rId256" Type="http://schemas.openxmlformats.org/officeDocument/2006/relationships/hyperlink" Target="https://www.sec.gov/Archives/edgar/data/1833214/000149315221026649/ex10-5.htm" TargetMode="External"/><Relationship Id="rId257" Type="http://schemas.openxmlformats.org/officeDocument/2006/relationships/hyperlink" Target="https://www.sec.gov/Archives/edgar/data/1833214/000149315221026649/ex10-6.htm" TargetMode="External"/><Relationship Id="rId258" Type="http://schemas.openxmlformats.org/officeDocument/2006/relationships/hyperlink" Target="https://www.sec.gov/Archives/edgar/data/1833214/000149315220023047/ex10-5.htm" TargetMode="External"/><Relationship Id="rId259" Type="http://schemas.openxmlformats.org/officeDocument/2006/relationships/hyperlink" Target="https://www.sec.gov/Archives/edgar/data/1833214/000149315221000842/ex10-5.htm" TargetMode="External"/><Relationship Id="rId260" Type="http://schemas.openxmlformats.org/officeDocument/2006/relationships/hyperlink" Target="https://www.sec.gov/Archives/edgar/data/1833214/000149315221020329/forms-4.htm#ann_004" TargetMode="External"/><Relationship Id="rId261" Type="http://schemas.openxmlformats.org/officeDocument/2006/relationships/hyperlink" Target="https://www.sec.gov/Archives/edgar/data/1833214/000149315221020329/forms-4.htm#ann_005" TargetMode="External"/><Relationship Id="rId262" Type="http://schemas.openxmlformats.org/officeDocument/2006/relationships/hyperlink" Target="https://www.sec.gov/Archives/edgar/data/1833214/000149315221026649/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2021-12-03T16:26:07Z</dcterms:created>
  <dcterms:modified xsi:type="dcterms:W3CDTF">2021-12-03T16:26:07Z</dcterms:modified>
</cp:coreProperties>
</file>