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3860" w:right="2500" w:hanging="3839"/>
        <w:spacing w:after="0" w:line="395" w:lineRule="auto"/>
        <w:tabs>
          <w:tab w:leader="none" w:pos="489"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7" w:lineRule="exact"/>
        <w:rPr>
          <w:sz w:val="24"/>
          <w:szCs w:val="24"/>
          <w:color w:val="auto"/>
        </w:rPr>
      </w:pPr>
    </w:p>
    <w:p>
      <w:pPr>
        <w:ind w:left="2900" w:right="2500" w:hanging="2879"/>
        <w:spacing w:after="0" w:line="405" w:lineRule="auto"/>
        <w:tabs>
          <w:tab w:leader="none" w:pos="471"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___________________ to ___________________</w:t>
      </w:r>
    </w:p>
    <w:p>
      <w:pPr>
        <w:ind w:left="434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001-39871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SAB BIOTHERAPEUTICS, INC.</w:t>
      </w:r>
    </w:p>
    <w:p>
      <w:pPr>
        <w:sectPr>
          <w:pgSz w:w="11900" w:h="16838" w:orient="portrait"/>
          <w:cols w:equalWidth="0" w:num="1">
            <w:col w:w="11240"/>
          </w:cols>
          <w:pgMar w:left="320" w:top="1046"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86360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5"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6"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2"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85-3899721</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4" w:lineRule="exact"/>
        <w:rPr>
          <w:sz w:val="24"/>
          <w:szCs w:val="24"/>
          <w:color w:val="auto"/>
        </w:rPr>
      </w:pPr>
    </w:p>
    <w:p>
      <w:pPr>
        <w:sectPr>
          <w:pgSz w:w="11900" w:h="16838" w:orient="portrait"/>
          <w:cols w:equalWidth="0" w:num="2">
            <w:col w:w="7480" w:space="460"/>
            <w:col w:w="3300"/>
          </w:cols>
          <w:pgMar w:left="320" w:top="1046" w:right="3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450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b w:val="1"/>
                <w:bCs w:val="1"/>
                <w:color w:val="auto"/>
                <w:w w:val="99"/>
              </w:rPr>
              <w:t>777 W 41</w:t>
            </w:r>
            <w:r>
              <w:rPr>
                <w:rFonts w:ascii="Times New Roman" w:cs="Times New Roman" w:eastAsia="Times New Roman" w:hAnsi="Times New Roman"/>
                <w:sz w:val="21"/>
                <w:szCs w:val="21"/>
                <w:b w:val="1"/>
                <w:bCs w:val="1"/>
                <w:color w:val="auto"/>
                <w:w w:val="99"/>
                <w:vertAlign w:val="superscript"/>
              </w:rPr>
              <w:t>st</w:t>
            </w:r>
            <w:r>
              <w:rPr>
                <w:rFonts w:ascii="Times New Roman" w:cs="Times New Roman" w:eastAsia="Times New Roman" w:hAnsi="Times New Roman"/>
                <w:sz w:val="16"/>
                <w:szCs w:val="16"/>
                <w:b w:val="1"/>
                <w:bCs w:val="1"/>
                <w:color w:val="auto"/>
                <w:w w:val="99"/>
              </w:rPr>
              <w:t xml:space="preserve"> St, Suite 401</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50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b w:val="1"/>
                <w:bCs w:val="1"/>
                <w:color w:val="auto"/>
              </w:rPr>
              <w:t>Miami Beach, Florida</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tcPr>
          <w:p>
            <w:pPr>
              <w:jc w:val="right"/>
              <w:ind w:right="2544"/>
              <w:spacing w:after="0"/>
              <w:rPr>
                <w:sz w:val="20"/>
                <w:szCs w:val="20"/>
                <w:color w:val="auto"/>
              </w:rPr>
            </w:pPr>
            <w:r>
              <w:rPr>
                <w:rFonts w:ascii="Times New Roman" w:cs="Times New Roman" w:eastAsia="Times New Roman" w:hAnsi="Times New Roman"/>
                <w:sz w:val="16"/>
                <w:szCs w:val="16"/>
                <w:b w:val="1"/>
                <w:bCs w:val="1"/>
                <w:color w:val="auto"/>
              </w:rPr>
              <w:t>33140</w:t>
            </w:r>
          </w:p>
        </w:tc>
        <w:tc>
          <w:tcPr>
            <w:tcW w:w="0" w:type="dxa"/>
            <w:vAlign w:val="bottom"/>
          </w:tcPr>
          <w:p>
            <w:pPr>
              <w:spacing w:after="0"/>
              <w:rPr>
                <w:sz w:val="1"/>
                <w:szCs w:val="1"/>
                <w:color w:val="auto"/>
              </w:rPr>
            </w:pPr>
          </w:p>
        </w:tc>
      </w:tr>
      <w:tr>
        <w:trPr>
          <w:trHeight w:val="166"/>
        </w:trPr>
        <w:tc>
          <w:tcPr>
            <w:tcW w:w="4500" w:type="dxa"/>
            <w:vAlign w:val="bottom"/>
            <w:gridSpan w:val="3"/>
          </w:tcPr>
          <w:p>
            <w:pPr>
              <w:jc w:val="center"/>
              <w:ind w:left="1042"/>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jc w:val="center"/>
              <w:ind w:right="10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67"/>
        </w:trPr>
        <w:tc>
          <w:tcPr>
            <w:tcW w:w="11240" w:type="dxa"/>
            <w:vAlign w:val="bottom"/>
            <w:gridSpan w:val="7"/>
          </w:tcPr>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(305) 845-2813</w:t>
            </w:r>
          </w:p>
        </w:tc>
        <w:tc>
          <w:tcPr>
            <w:tcW w:w="0" w:type="dxa"/>
            <w:vAlign w:val="bottom"/>
          </w:tcPr>
          <w:p>
            <w:pPr>
              <w:spacing w:after="0"/>
              <w:rPr>
                <w:sz w:val="1"/>
                <w:szCs w:val="1"/>
                <w:color w:val="auto"/>
              </w:rPr>
            </w:pPr>
          </w:p>
        </w:tc>
      </w:tr>
      <w:tr>
        <w:trPr>
          <w:trHeight w:val="128"/>
        </w:trPr>
        <w:tc>
          <w:tcPr>
            <w:tcW w:w="45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4500" w:type="dxa"/>
            <w:vAlign w:val="bottom"/>
            <w:gridSpan w:val="3"/>
            <w:vMerge w:val="continue"/>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500" w:type="dxa"/>
            <w:vAlign w:val="bottom"/>
            <w:gridSpan w:val="3"/>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500" w:type="dxa"/>
            <w:vAlign w:val="bottom"/>
            <w:vMerge w:val="restart"/>
          </w:tcPr>
          <w:p>
            <w:pPr>
              <w:jc w:val="center"/>
              <w:ind w:right="46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gridSpan w:val="3"/>
            <w:vMerge w:val="continue"/>
          </w:tcPr>
          <w:p>
            <w:pPr>
              <w:spacing w:after="0"/>
              <w:rPr>
                <w:sz w:val="15"/>
                <w:szCs w:val="15"/>
                <w:color w:val="auto"/>
              </w:rPr>
            </w:pPr>
          </w:p>
        </w:tc>
        <w:tc>
          <w:tcPr>
            <w:tcW w:w="22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8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center"/>
              <w:ind w:right="24"/>
              <w:spacing w:after="0" w:line="182" w:lineRule="exact"/>
              <w:rPr>
                <w:sz w:val="20"/>
                <w:szCs w:val="20"/>
                <w:color w:val="auto"/>
              </w:rPr>
            </w:pPr>
            <w:r>
              <w:rPr>
                <w:rFonts w:ascii="Times New Roman" w:cs="Times New Roman" w:eastAsia="Times New Roman" w:hAnsi="Times New Roman"/>
                <w:sz w:val="16"/>
                <w:szCs w:val="16"/>
                <w:color w:val="auto"/>
                <w:w w:val="99"/>
              </w:rPr>
              <w:t>SABS</w:t>
            </w: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4500" w:type="dxa"/>
            <w:vAlign w:val="bottom"/>
            <w:tcBorders>
              <w:top w:val="single" w:sz="8" w:color="auto"/>
            </w:tcBorders>
          </w:tcPr>
          <w:p>
            <w:pPr>
              <w:jc w:val="center"/>
              <w:ind w:right="464"/>
              <w:spacing w:after="0" w:line="182" w:lineRule="exact"/>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10"/>
        </w:trPr>
        <w:tc>
          <w:tcPr>
            <w:tcW w:w="4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Warrants, each exercisable for one share of Common Stock</w:t>
            </w:r>
          </w:p>
        </w:tc>
        <w:tc>
          <w:tcPr>
            <w:tcW w:w="2240" w:type="dxa"/>
            <w:vAlign w:val="bottom"/>
            <w:gridSpan w:val="3"/>
          </w:tcPr>
          <w:p>
            <w:pPr>
              <w:jc w:val="center"/>
              <w:ind w:right="740"/>
              <w:spacing w:after="0"/>
              <w:rPr>
                <w:sz w:val="20"/>
                <w:szCs w:val="20"/>
                <w:color w:val="auto"/>
              </w:rPr>
            </w:pPr>
            <w:r>
              <w:rPr>
                <w:rFonts w:ascii="Times New Roman" w:cs="Times New Roman" w:eastAsia="Times New Roman" w:hAnsi="Times New Roman"/>
                <w:sz w:val="16"/>
                <w:szCs w:val="16"/>
                <w:color w:val="auto"/>
              </w:rPr>
              <w:t>SABSW(1)</w:t>
            </w:r>
          </w:p>
        </w:tc>
        <w:tc>
          <w:tcPr>
            <w:tcW w:w="4500" w:type="dxa"/>
            <w:vAlign w:val="bottom"/>
          </w:tcPr>
          <w:p>
            <w:pPr>
              <w:jc w:val="center"/>
              <w:ind w:right="464"/>
              <w:spacing w:after="0"/>
              <w:rPr>
                <w:sz w:val="20"/>
                <w:szCs w:val="20"/>
                <w:color w:val="auto"/>
              </w:rPr>
            </w:pPr>
            <w:r>
              <w:rPr>
                <w:rFonts w:ascii="Times New Roman" w:cs="Times New Roman" w:eastAsia="Times New Roman" w:hAnsi="Times New Roman"/>
                <w:sz w:val="16"/>
                <w:szCs w:val="16"/>
                <w:color w:val="auto"/>
              </w:rPr>
              <w:t>The Nasdaq Stock Market LLC(1)</w:t>
            </w:r>
          </w:p>
        </w:tc>
        <w:tc>
          <w:tcPr>
            <w:tcW w:w="0" w:type="dxa"/>
            <w:vAlign w:val="bottom"/>
          </w:tcPr>
          <w:p>
            <w:pPr>
              <w:spacing w:after="0"/>
              <w:rPr>
                <w:sz w:val="1"/>
                <w:szCs w:val="1"/>
                <w:color w:val="auto"/>
              </w:rPr>
            </w:pPr>
          </w:p>
        </w:tc>
      </w:tr>
    </w:tbl>
    <w:p>
      <w:pPr>
        <w:spacing w:after="0" w:line="100" w:lineRule="exact"/>
        <w:rPr>
          <w:sz w:val="24"/>
          <w:szCs w:val="24"/>
          <w:color w:val="auto"/>
        </w:rPr>
      </w:pPr>
    </w:p>
    <w:p>
      <w:pPr>
        <w:ind w:left="240" w:hanging="232"/>
        <w:spacing w:after="0"/>
        <w:tabs>
          <w:tab w:leader="none" w:pos="2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publicly traded warrants expired in accordance with their terms on October 22, 2026. On October 22, 2026, The Nasdaq Stock Market LLC filed a Form</w:t>
      </w:r>
    </w:p>
    <w:p>
      <w:pPr>
        <w:spacing w:after="0" w:line="26" w:lineRule="exact"/>
        <w:rPr>
          <w:rFonts w:ascii="Times New Roman" w:cs="Times New Roman" w:eastAsia="Times New Roman" w:hAnsi="Times New Roman"/>
          <w:sz w:val="16"/>
          <w:szCs w:val="16"/>
          <w:color w:val="auto"/>
        </w:rPr>
      </w:pPr>
    </w:p>
    <w:p>
      <w:pPr>
        <w:ind w:right="80"/>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 with the Securities and Exchange Commission to delist the warrants and withdraw their registration under Section 12(b) of the Exchange Act. Trading in the warrants on The Nasdaq Stock Market LLC was suspended on October 23, 2026. The withdrawal of the registration of the warrants under Section 12(b) will become effective 90 days after the filing of the Form 25, or such shorter period as the Securities and Exchange Commission may determine.</w:t>
      </w:r>
    </w:p>
    <w:p>
      <w:pPr>
        <w:spacing w:after="0" w:line="73"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320" w:hanging="312"/>
        <w:spacing w:after="0" w:line="184" w:lineRule="exact"/>
        <w:tabs>
          <w:tab w:leader="none" w:pos="32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00" w:type="dxa"/>
            <w:vAlign w:val="bottom"/>
          </w:tcPr>
          <w:p>
            <w:pPr>
              <w:ind w:left="112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Accelerated filer</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00" w:type="dxa"/>
            <w:vAlign w:val="bottom"/>
          </w:tcPr>
          <w:p>
            <w:pPr>
              <w:ind w:left="112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58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4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5"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60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2, 2026, the registrant had 90,088,831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728345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1122045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4"/>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tcBorders>
              <w:left w:val="single" w:sz="8" w:color="0000FF"/>
            </w:tcBorders>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SAB Biotherapeutics,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199"/>
        </w:trPr>
        <w:tc>
          <w:tcPr>
            <w:tcW w:w="7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14,438</w:t>
            </w:r>
          </w:p>
        </w:tc>
        <w:tc>
          <w:tcPr>
            <w:tcW w:w="1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10,503</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86,090</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3,513</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107,738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101,053</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issuance costs</w:t>
            </w:r>
          </w:p>
        </w:tc>
        <w:tc>
          <w:tcPr>
            <w:tcW w:w="18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7"/>
                <w:szCs w:val="17"/>
                <w:color w:val="auto"/>
              </w:rPr>
            </w:pPr>
          </w:p>
        </w:tc>
      </w:tr>
      <w:tr>
        <w:trPr>
          <w:trHeight w:val="202"/>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Long-term prepaid assets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5,309</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investments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101,290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46,893</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2,603</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w:t>
            </w: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15,652</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13,306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235,644</w:t>
            </w:r>
          </w:p>
        </w:tc>
        <w:tc>
          <w:tcPr>
            <w:tcW w:w="16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172,810</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1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6,584</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 liabilities, current portion</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14,798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10,681</w:t>
            </w:r>
          </w:p>
        </w:tc>
        <w:tc>
          <w:tcPr>
            <w:tcW w:w="100" w:type="dxa"/>
            <w:vAlign w:val="bottom"/>
            <w:shd w:val="clear" w:color="auto" w:fill="CFF0FC"/>
          </w:tcPr>
          <w:p>
            <w:pPr>
              <w:spacing w:after="0"/>
              <w:rPr>
                <w:sz w:val="17"/>
                <w:szCs w:val="17"/>
                <w:color w:val="auto"/>
              </w:rPr>
            </w:pPr>
          </w:p>
        </w:tc>
      </w:tr>
      <w:tr>
        <w:trPr>
          <w:trHeight w:val="202"/>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Finance lease liabilities, noncurrent</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Warrant liabilities</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5,577</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5,635</w:t>
            </w:r>
          </w:p>
        </w:tc>
        <w:tc>
          <w:tcPr>
            <w:tcW w:w="100" w:type="dxa"/>
            <w:vAlign w:val="bottom"/>
            <w:tcBorders>
              <w:bottom w:val="single" w:sz="8" w:color="CFF0FC"/>
            </w:tcBorders>
          </w:tcPr>
          <w:p>
            <w:pPr>
              <w:spacing w:after="0"/>
              <w:rPr>
                <w:sz w:val="17"/>
                <w:szCs w:val="17"/>
                <w:color w:val="auto"/>
              </w:rPr>
            </w:pPr>
          </w:p>
        </w:tc>
      </w:tr>
      <w:tr>
        <w:trPr>
          <w:trHeight w:val="19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24,723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21,315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Series A Preferred stock; $0.0001 par value; 10,000,000 shares authorized, 28,380 shares issued and outstanding</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at September 30, 2026 and December 31, 2025, respectively</w:t>
            </w:r>
          </w:p>
        </w:tc>
        <w:tc>
          <w:tcPr>
            <w:tcW w:w="1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Series B Preferred stock; $0.0001 par value; 2,928,570 shares authorized, 522,629 shares issued and outstanding</w:t>
            </w: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at September 30, 2026 and 638,558 shares issued and outstanding as of December 31, 2025</w:t>
            </w: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$0.0001 par value; 800,000,000 shares authorized at September 30, 2026 and December 31,</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2025; 91,192,688 and 47,664,564 shares issued at September 30, 2026 and December 31, 2025, respectively, and</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91,138,023 and 47,609,899 outstanding at September 30, 2026 and December 31, 2025, respectively</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r>
      <w:tr>
        <w:trPr>
          <w:trHeight w:val="205"/>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Treasury stock, at cost; 54,665 shares held at September 30, 2026 and December 31, 2025</w:t>
            </w: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(5,521)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(5,521)</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393,291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267,719</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(2,303)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7"/>
                <w:szCs w:val="17"/>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(174,555)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(110,895)</w:t>
            </w:r>
          </w:p>
        </w:tc>
      </w:tr>
      <w:tr>
        <w:trPr>
          <w:trHeight w:val="19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210,921</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151,495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235,644</w:t>
            </w:r>
          </w:p>
        </w:tc>
        <w:tc>
          <w:tcPr>
            <w:tcW w:w="16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172,810</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-3573780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-2129155</wp:posOffset>
            </wp:positionV>
            <wp:extent cx="939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-2129155</wp:posOffset>
            </wp:positionV>
            <wp:extent cx="939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SAB Biotherapeutics,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5"/>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7"/>
                <w:szCs w:val="17"/>
                <w:color w:val="auto"/>
              </w:rPr>
            </w:pPr>
          </w:p>
        </w:tc>
      </w:tr>
      <w:tr>
        <w:trPr>
          <w:trHeight w:val="19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18,077</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47,647</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23,624</w:t>
            </w:r>
          </w:p>
        </w:tc>
        <w:tc>
          <w:tcPr>
            <w:tcW w:w="100" w:type="dxa"/>
            <w:vAlign w:val="bottom"/>
          </w:tcPr>
          <w:p>
            <w:pPr>
              <w:spacing w:after="0"/>
              <w:rPr>
                <w:sz w:val="17"/>
                <w:szCs w:val="17"/>
                <w:color w:val="auto"/>
              </w:rPr>
            </w:pPr>
          </w:p>
        </w:tc>
      </w:tr>
      <w:tr>
        <w:trPr>
          <w:trHeight w:val="203"/>
        </w:trPr>
        <w:tc>
          <w:tcPr>
            <w:tcW w:w="5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7,822</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21,627</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25,899</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69,274</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33,183</w:t>
            </w:r>
          </w:p>
        </w:tc>
        <w:tc>
          <w:tcPr>
            <w:tcW w:w="100" w:type="dxa"/>
            <w:vAlign w:val="bottom"/>
          </w:tcPr>
          <w:p>
            <w:pPr>
              <w:spacing w:after="0"/>
              <w:rPr>
                <w:sz w:val="17"/>
                <w:szCs w:val="17"/>
                <w:color w:val="auto"/>
              </w:rPr>
            </w:pPr>
          </w:p>
        </w:tc>
      </w:tr>
      <w:tr>
        <w:trPr>
          <w:trHeight w:val="19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(25,899)</w:t>
            </w:r>
          </w:p>
        </w:tc>
        <w:tc>
          <w:tcPr>
            <w:tcW w:w="3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(12,679)</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(69,274)</w:t>
            </w:r>
          </w:p>
        </w:tc>
        <w:tc>
          <w:tcPr>
            <w:tcW w:w="3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(33,183)</w:t>
            </w:r>
          </w:p>
        </w:tc>
      </w:tr>
      <w:tr>
        <w:trPr>
          <w:trHeight w:val="20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Changes in fair value of warrant liabilities</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61,598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66,007</w:t>
            </w:r>
          </w:p>
        </w:tc>
        <w:tc>
          <w:tcPr>
            <w:tcW w:w="100" w:type="dxa"/>
            <w:vAlign w:val="bottom"/>
            <w:shd w:val="clear" w:color="auto" w:fill="CFF0FC"/>
          </w:tcPr>
          <w:p>
            <w:pPr>
              <w:spacing w:after="0"/>
              <w:rPr>
                <w:sz w:val="17"/>
                <w:szCs w:val="17"/>
                <w:color w:val="auto"/>
              </w:rPr>
            </w:pPr>
          </w:p>
        </w:tc>
      </w:tr>
      <w:tr>
        <w:trPr>
          <w:trHeight w:val="203"/>
        </w:trPr>
        <w:tc>
          <w:tcPr>
            <w:tcW w:w="5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 net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4,239</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17"/>
                <w:szCs w:val="17"/>
                <w:color w:val="auto"/>
              </w:rPr>
            </w:pPr>
          </w:p>
        </w:tc>
      </w:tr>
      <w:tr>
        <w:trPr>
          <w:trHeight w:val="203"/>
        </w:trPr>
        <w:tc>
          <w:tcPr>
            <w:tcW w:w="5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100" w:type="dxa"/>
            <w:vAlign w:val="bottom"/>
            <w:shd w:val="clear" w:color="auto" w:fill="CFF0FC"/>
          </w:tcPr>
          <w:p>
            <w:pPr>
              <w:spacing w:after="0"/>
              <w:rPr>
                <w:sz w:val="17"/>
                <w:szCs w:val="17"/>
                <w:color w:val="auto"/>
              </w:rPr>
            </w:pPr>
          </w:p>
        </w:tc>
      </w:tr>
      <w:tr>
        <w:trPr>
          <w:trHeight w:val="203"/>
        </w:trPr>
        <w:tc>
          <w:tcPr>
            <w:tcW w:w="5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Warrant issuance expense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(4,852)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(4,852)</w:t>
            </w:r>
          </w:p>
        </w:tc>
      </w:tr>
      <w:tr>
        <w:trPr>
          <w:trHeight w:val="196"/>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other income</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3,599</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58,124</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5,614</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63,317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(22,300)</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45,445</w:t>
            </w:r>
          </w:p>
        </w:tc>
        <w:tc>
          <w:tcPr>
            <w:tcW w:w="120" w:type="dxa"/>
            <w:vAlign w:val="bottom"/>
          </w:tcPr>
          <w:p>
            <w:pPr>
              <w:spacing w:after="0"/>
              <w:rPr>
                <w:sz w:val="17"/>
                <w:szCs w:val="17"/>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(63,660)</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30,134</w:t>
            </w:r>
          </w:p>
        </w:tc>
        <w:tc>
          <w:tcPr>
            <w:tcW w:w="100" w:type="dxa"/>
            <w:vAlign w:val="bottom"/>
          </w:tcPr>
          <w:p>
            <w:pPr>
              <w:spacing w:after="0"/>
              <w:rPr>
                <w:sz w:val="17"/>
                <w:szCs w:val="17"/>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Unrealized gain (loss), change in fair value of available-for-sale securities</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(1,414)</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7"/>
                <w:szCs w:val="17"/>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(2,631)</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7"/>
                <w:szCs w:val="17"/>
                <w:color w:val="auto"/>
              </w:rPr>
            </w:pPr>
          </w:p>
        </w:tc>
      </w:tr>
      <w:tr>
        <w:trPr>
          <w:trHeight w:val="189"/>
        </w:trPr>
        <w:tc>
          <w:tcPr>
            <w:tcW w:w="5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Reclassification adjustment for gain on sale of available-for-sale securities included</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5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 net income</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(47)</w:t>
            </w:r>
          </w:p>
        </w:tc>
        <w:tc>
          <w:tcPr>
            <w:tcW w:w="3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gain (loss)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7"/>
                <w:szCs w:val="17"/>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(23,673)</w:t>
            </w: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45,532</w:t>
            </w: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(66,150)</w:t>
            </w: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30,341</w:t>
            </w:r>
          </w:p>
        </w:tc>
        <w:tc>
          <w:tcPr>
            <w:tcW w:w="100" w:type="dxa"/>
            <w:vAlign w:val="bottom"/>
            <w:shd w:val="clear" w:color="auto" w:fill="CFF0FC"/>
          </w:tcPr>
          <w:p>
            <w:pPr>
              <w:spacing w:after="0"/>
              <w:rPr>
                <w:sz w:val="20"/>
                <w:szCs w:val="20"/>
                <w:color w:val="auto"/>
              </w:rPr>
            </w:pPr>
          </w:p>
        </w:tc>
      </w:tr>
      <w:tr>
        <w:trPr>
          <w:trHeight w:val="183"/>
        </w:trPr>
        <w:tc>
          <w:tcPr>
            <w:tcW w:w="5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Income (loss) per common share attributable to the Company’s shareholders</w:t>
            </w:r>
          </w:p>
        </w:tc>
        <w:tc>
          <w:tcPr>
            <w:tcW w:w="1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income (loss) per common share</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(0.24)</w:t>
            </w: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(0.84)</w:t>
            </w: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00" w:type="dxa"/>
            <w:vAlign w:val="bottom"/>
            <w:shd w:val="clear" w:color="auto" w:fill="CFF0FC"/>
          </w:tcPr>
          <w:p>
            <w:pPr>
              <w:spacing w:after="0"/>
              <w:rPr>
                <w:sz w:val="17"/>
                <w:szCs w:val="17"/>
                <w:color w:val="auto"/>
              </w:rPr>
            </w:pPr>
          </w:p>
        </w:tc>
      </w:tr>
      <w:tr>
        <w:trPr>
          <w:trHeight w:val="20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Diluted income (loss) per common share</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(0.24)</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(0.84)</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(0.33)</w:t>
            </w:r>
          </w:p>
        </w:tc>
      </w:tr>
      <w:tr>
        <w:trPr>
          <w:trHeight w:val="20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93,237,708</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10,660,500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75,695,490</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9,750,531</w:t>
            </w:r>
          </w:p>
        </w:tc>
        <w:tc>
          <w:tcPr>
            <w:tcW w:w="100" w:type="dxa"/>
            <w:vAlign w:val="bottom"/>
            <w:shd w:val="clear" w:color="auto" w:fill="CFF0FC"/>
          </w:tcPr>
          <w:p>
            <w:pPr>
              <w:spacing w:after="0"/>
              <w:rPr>
                <w:sz w:val="17"/>
                <w:szCs w:val="17"/>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93,237,708</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77,863,263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75,695,490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30,302,890</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-2670175</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-2670175</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-2670175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-2670175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-1616075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-1616075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-1616075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-1616075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-673100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-655955</wp:posOffset>
            </wp:positionV>
            <wp:extent cx="768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-673100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-655955</wp:posOffset>
            </wp:positionV>
            <wp:extent cx="768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-673100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-655955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-673100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-655955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SAB Biotherapeutics, Inc. and Subsidiaries</w:t>
      </w:r>
    </w:p>
    <w:p>
      <w:pPr>
        <w:spacing w:after="0" w:line="229" w:lineRule="auto"/>
        <w:rPr>
          <w:sz w:val="20"/>
          <w:szCs w:val="20"/>
          <w:color w:val="auto"/>
        </w:rPr>
      </w:pPr>
      <w:r>
        <w:rPr>
          <w:rFonts w:ascii="Times New Roman" w:cs="Times New Roman" w:eastAsia="Times New Roman" w:hAnsi="Times New Roman"/>
          <w:sz w:val="14"/>
          <w:szCs w:val="14"/>
          <w:b w:val="1"/>
          <w:bCs w:val="1"/>
          <w:color w:val="auto"/>
        </w:rPr>
        <w:t>Condensed Consolidated Statements of Changes In Stockholders’ Equity</w:t>
      </w:r>
    </w:p>
    <w:p>
      <w:pPr>
        <w:spacing w:after="0"/>
        <w:rPr>
          <w:sz w:val="20"/>
          <w:szCs w:val="20"/>
          <w:color w:val="auto"/>
        </w:rPr>
      </w:pPr>
      <w:r>
        <w:rPr>
          <w:rFonts w:ascii="Times New Roman" w:cs="Times New Roman" w:eastAsia="Times New Roman" w:hAnsi="Times New Roman"/>
          <w:sz w:val="14"/>
          <w:szCs w:val="14"/>
          <w:b w:val="1"/>
          <w:bCs w:val="1"/>
          <w:color w:val="auto"/>
        </w:rPr>
        <w:t>(in thousands, except par value and share amounts) (Unaudited)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0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0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center"/>
              <w:ind w:left="173"/>
              <w:spacing w:after="0" w:line="126" w:lineRule="exact"/>
              <w:rPr>
                <w:sz w:val="20"/>
                <w:szCs w:val="20"/>
                <w:color w:val="auto"/>
              </w:rPr>
            </w:pPr>
            <w:r>
              <w:rPr>
                <w:rFonts w:ascii="Times New Roman" w:cs="Times New Roman" w:eastAsia="Times New Roman" w:hAnsi="Times New Roman"/>
                <w:sz w:val="13"/>
                <w:szCs w:val="13"/>
                <w:b w:val="1"/>
                <w:bCs w:val="1"/>
                <w:color w:val="auto"/>
              </w:rPr>
              <w:t>Series B</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Series A</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120" w:type="dxa"/>
            <w:vAlign w:val="bottom"/>
            <w:gridSpan w:val="3"/>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20" w:type="dxa"/>
            <w:vAlign w:val="bottom"/>
          </w:tcPr>
          <w:p>
            <w:pPr>
              <w:spacing w:after="0"/>
              <w:rPr>
                <w:sz w:val="14"/>
                <w:szCs w:val="14"/>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20" w:type="dxa"/>
            <w:vAlign w:val="bottom"/>
          </w:tcPr>
          <w:p>
            <w:pPr>
              <w:spacing w:after="0"/>
              <w:rPr>
                <w:sz w:val="14"/>
                <w:szCs w:val="14"/>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Additiona</w:t>
            </w:r>
          </w:p>
        </w:tc>
        <w:tc>
          <w:tcPr>
            <w:tcW w:w="1080" w:type="dxa"/>
            <w:vAlign w:val="bottom"/>
            <w:gridSpan w:val="5"/>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4"/>
                <w:szCs w:val="14"/>
                <w:color w:val="auto"/>
              </w:rPr>
            </w:pPr>
          </w:p>
        </w:tc>
        <w:tc>
          <w:tcPr>
            <w:tcW w:w="7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5"/>
        </w:trPr>
        <w:tc>
          <w:tcPr>
            <w:tcW w:w="30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l</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w:t>
            </w:r>
          </w:p>
        </w:tc>
        <w:tc>
          <w:tcPr>
            <w:tcW w:w="8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82"/>
              </w:rPr>
              <w:t>Amo</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w:t>
            </w:r>
          </w:p>
        </w:tc>
        <w:tc>
          <w:tcPr>
            <w:tcW w:w="120" w:type="dxa"/>
            <w:vAlign w:val="bottom"/>
          </w:tcPr>
          <w:p>
            <w:pPr>
              <w:spacing w:after="0"/>
              <w:rPr>
                <w:sz w:val="12"/>
                <w:szCs w:val="12"/>
                <w:color w:val="auto"/>
              </w:rPr>
            </w:pPr>
          </w:p>
        </w:tc>
        <w:tc>
          <w:tcPr>
            <w:tcW w:w="7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Amoun</w:t>
            </w:r>
          </w:p>
        </w:tc>
        <w:tc>
          <w:tcPr>
            <w:tcW w:w="12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ed</w:t>
            </w: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84"/>
              </w:rPr>
              <w:t>s’</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6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4"/>
                <w:szCs w:val="14"/>
                <w:color w:val="auto"/>
              </w:rPr>
            </w:pPr>
          </w:p>
        </w:tc>
        <w:tc>
          <w:tcPr>
            <w:tcW w:w="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5"/>
              </w:rPr>
              <w:t>unt</w:t>
            </w:r>
          </w:p>
        </w:tc>
        <w:tc>
          <w:tcPr>
            <w:tcW w:w="1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w:t>
            </w:r>
          </w:p>
        </w:tc>
        <w:tc>
          <w:tcPr>
            <w:tcW w:w="120" w:type="dxa"/>
            <w:vAlign w:val="bottom"/>
          </w:tcPr>
          <w:p>
            <w:pPr>
              <w:spacing w:after="0"/>
              <w:rPr>
                <w:sz w:val="14"/>
                <w:szCs w:val="14"/>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6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47,664,56</w:t>
            </w:r>
          </w:p>
        </w:tc>
        <w:tc>
          <w:tcPr>
            <w:tcW w:w="180" w:type="dxa"/>
            <w:vAlign w:val="bottom"/>
            <w:tcBorders>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638,5</w:t>
            </w:r>
          </w:p>
        </w:tc>
        <w:tc>
          <w:tcPr>
            <w:tcW w:w="10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(54,6</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(5,52</w:t>
            </w: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30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58</w:t>
            </w:r>
          </w:p>
        </w:tc>
        <w:tc>
          <w:tcPr>
            <w:tcW w:w="10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28,380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267,719</w:t>
            </w:r>
          </w:p>
        </w:tc>
        <w:tc>
          <w:tcPr>
            <w:tcW w:w="12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65)</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(110,895)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187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151,495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0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Stock-based compensation</w:t>
            </w: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ind w:left="14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CFF0FC"/>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ind w:left="14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5,460</w:t>
            </w:r>
          </w:p>
        </w:tc>
        <w:tc>
          <w:tcPr>
            <w:tcW w:w="120" w:type="dxa"/>
            <w:vAlign w:val="bottom"/>
            <w:tcBorders>
              <w:top w:val="single" w:sz="8" w:color="CFF0FC"/>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5,460</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8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Issuance of common stock under equity plan, net of</w:t>
            </w:r>
          </w:p>
        </w:tc>
        <w:tc>
          <w:tcPr>
            <w:tcW w:w="66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shares withheld for taxes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42,100</w:t>
            </w:r>
          </w:p>
        </w:tc>
        <w:tc>
          <w:tcPr>
            <w:tcW w:w="18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2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0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Conversion of Series B Preferred Stock into common</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(67,67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6,767,900</w:t>
            </w:r>
          </w:p>
        </w:tc>
        <w:tc>
          <w:tcPr>
            <w:tcW w:w="1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9)</w:t>
            </w:r>
          </w:p>
        </w:tc>
        <w:tc>
          <w:tcPr>
            <w:tcW w:w="18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08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Exercise of Enrollment Date Warrants into Series B</w:t>
            </w:r>
          </w:p>
        </w:tc>
        <w:tc>
          <w:tcPr>
            <w:tcW w:w="66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17,00</w:t>
            </w:r>
          </w:p>
        </w:tc>
        <w:tc>
          <w:tcPr>
            <w:tcW w:w="10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2,975</w:t>
            </w:r>
          </w:p>
        </w:tc>
        <w:tc>
          <w:tcPr>
            <w:tcW w:w="12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0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Issuance of common stock and pre-funded warrants in</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the March 2026 Public Offering, including the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21,324,67</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underwriters' option, net of issuance costs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86,487</w:t>
            </w:r>
          </w:p>
        </w:tc>
        <w:tc>
          <w:tcPr>
            <w:tcW w:w="12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86,489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5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4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7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(18,869)</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(18,869)</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08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Unrealized loss, change in fair value of available-for-</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FF0FC"/>
            </w:tcBorders>
            <w:vMerge w:val="restart"/>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1"/>
                <w:szCs w:val="11"/>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CFF0FC"/>
          </w:tcPr>
          <w:p>
            <w:pPr>
              <w:spacing w:after="0"/>
              <w:rPr>
                <w:sz w:val="11"/>
                <w:szCs w:val="11"/>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FF0FC"/>
            </w:tcBorders>
            <w:vMerge w:val="restart"/>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CFF0FC"/>
            </w:tcBorders>
            <w:vMerge w:val="restart"/>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(547)</w:t>
            </w:r>
          </w:p>
        </w:tc>
        <w:tc>
          <w:tcPr>
            <w:tcW w:w="120" w:type="dxa"/>
            <w:vAlign w:val="bottom"/>
            <w:shd w:val="clear" w:color="auto" w:fill="CFF0FC"/>
          </w:tcPr>
          <w:p>
            <w:pPr>
              <w:spacing w:after="0"/>
              <w:rPr>
                <w:sz w:val="11"/>
                <w:szCs w:val="11"/>
                <w:color w:val="auto"/>
              </w:rPr>
            </w:pPr>
          </w:p>
        </w:tc>
        <w:tc>
          <w:tcPr>
            <w:tcW w:w="7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(547)</w:t>
            </w: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3"/>
                <w:szCs w:val="13"/>
                <w:color w:val="auto"/>
              </w:rPr>
              <w:t>sale securities, net of reclassification adjustment</w:t>
            </w:r>
          </w:p>
        </w:tc>
        <w:tc>
          <w:tcPr>
            <w:tcW w:w="660" w:type="dxa"/>
            <w:vAlign w:val="bottom"/>
            <w:vMerge w:val="continue"/>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2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vMerge w:val="continue"/>
            <w:shd w:val="clear" w:color="auto" w:fill="CFF0FC"/>
          </w:tcPr>
          <w:p>
            <w:pPr>
              <w:spacing w:after="0"/>
              <w:rPr>
                <w:sz w:val="12"/>
                <w:szCs w:val="12"/>
                <w:color w:val="auto"/>
              </w:rPr>
            </w:pPr>
          </w:p>
        </w:tc>
        <w:tc>
          <w:tcPr>
            <w:tcW w:w="100" w:type="dxa"/>
            <w:vAlign w:val="bottom"/>
            <w:tcBorders>
              <w:right w:val="single" w:sz="8" w:color="CFF0FC"/>
            </w:tcBorders>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420" w:type="dxa"/>
            <w:vAlign w:val="bottom"/>
            <w:vMerge w:val="continue"/>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vMerge w:val="continue"/>
            <w:shd w:val="clear" w:color="auto" w:fill="CFF0FC"/>
          </w:tcPr>
          <w:p>
            <w:pPr>
              <w:spacing w:after="0"/>
              <w:rPr>
                <w:sz w:val="12"/>
                <w:szCs w:val="12"/>
                <w:color w:val="auto"/>
              </w:rPr>
            </w:pPr>
          </w:p>
        </w:tc>
        <w:tc>
          <w:tcPr>
            <w:tcW w:w="100" w:type="dxa"/>
            <w:vAlign w:val="bottom"/>
            <w:tcBorders>
              <w:right w:val="single" w:sz="8" w:color="CFF0FC"/>
            </w:tcBorders>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120" w:type="dxa"/>
            <w:vAlign w:val="bottom"/>
            <w:tcBorders>
              <w:right w:val="single" w:sz="8" w:color="CFF0FC"/>
            </w:tcBorders>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080" w:type="dxa"/>
            <w:vAlign w:val="bottom"/>
            <w:tcBorders>
              <w:top w:val="single" w:sz="8" w:color="CFF0FC"/>
            </w:tcBorders>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Balance at March 31, 2026</w:t>
            </w:r>
          </w:p>
        </w:tc>
        <w:tc>
          <w:tcPr>
            <w:tcW w:w="66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75,799,24</w:t>
            </w:r>
          </w:p>
        </w:tc>
        <w:tc>
          <w:tcPr>
            <w:tcW w:w="18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48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587,8</w:t>
            </w:r>
          </w:p>
        </w:tc>
        <w:tc>
          <w:tcPr>
            <w:tcW w:w="10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42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(54,6</w:t>
            </w: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(5,52</w:t>
            </w: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79</w:t>
            </w:r>
          </w:p>
        </w:tc>
        <w:tc>
          <w:tcPr>
            <w:tcW w:w="10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28,380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362,748</w:t>
            </w:r>
          </w:p>
        </w:tc>
        <w:tc>
          <w:tcPr>
            <w:tcW w:w="12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65)</w:t>
            </w:r>
          </w:p>
        </w:tc>
        <w:tc>
          <w:tcPr>
            <w:tcW w:w="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(129,764)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(223)</w:t>
            </w:r>
          </w:p>
        </w:tc>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227,248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5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7,247</w:t>
            </w:r>
          </w:p>
        </w:tc>
        <w:tc>
          <w:tcPr>
            <w:tcW w:w="12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4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7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0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Issuance of common stock under equity plan, net of</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shares withheld for taxes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28,016</w:t>
            </w:r>
          </w:p>
        </w:tc>
        <w:tc>
          <w:tcPr>
            <w:tcW w:w="1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08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Conversion of Series B Preferred Stock into common</w:t>
            </w:r>
          </w:p>
        </w:tc>
        <w:tc>
          <w:tcPr>
            <w:tcW w:w="66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(70,35</w:t>
            </w:r>
          </w:p>
        </w:tc>
        <w:tc>
          <w:tcPr>
            <w:tcW w:w="10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7,035,000</w:t>
            </w:r>
          </w:p>
        </w:tc>
        <w:tc>
          <w:tcPr>
            <w:tcW w:w="18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0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Exercise of Enrollment Date and Release Date</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Warrants into Series B Preferred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12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08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Issuance of common stock under the March 2026</w:t>
            </w:r>
          </w:p>
        </w:tc>
        <w:tc>
          <w:tcPr>
            <w:tcW w:w="66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Public Offering Underwriters' Option, net of issuance</w:t>
            </w:r>
          </w:p>
        </w:tc>
        <w:tc>
          <w:tcPr>
            <w:tcW w:w="66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costs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610,188</w:t>
            </w:r>
          </w:p>
        </w:tc>
        <w:tc>
          <w:tcPr>
            <w:tcW w:w="18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2,208</w:t>
            </w:r>
          </w:p>
        </w:tc>
        <w:tc>
          <w:tcPr>
            <w:tcW w:w="12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0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Issuance of common stock as consideration for</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professional services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75,288</w:t>
            </w:r>
          </w:p>
        </w:tc>
        <w:tc>
          <w:tcPr>
            <w:tcW w:w="1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2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5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4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7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(22,491)</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(22,491)</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08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Unrealized loss, change in fair value of available-for-</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FF0FC"/>
            </w:tcBorders>
            <w:vMerge w:val="restart"/>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1"/>
                <w:szCs w:val="11"/>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CFF0FC"/>
          </w:tcPr>
          <w:p>
            <w:pPr>
              <w:spacing w:after="0"/>
              <w:rPr>
                <w:sz w:val="11"/>
                <w:szCs w:val="11"/>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FF0FC"/>
            </w:tcBorders>
            <w:vMerge w:val="restart"/>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CFF0FC"/>
            </w:tcBorders>
            <w:vMerge w:val="restart"/>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(717)</w:t>
            </w:r>
          </w:p>
        </w:tc>
        <w:tc>
          <w:tcPr>
            <w:tcW w:w="120" w:type="dxa"/>
            <w:vAlign w:val="bottom"/>
            <w:shd w:val="clear" w:color="auto" w:fill="CFF0FC"/>
          </w:tcPr>
          <w:p>
            <w:pPr>
              <w:spacing w:after="0"/>
              <w:rPr>
                <w:sz w:val="11"/>
                <w:szCs w:val="11"/>
                <w:color w:val="auto"/>
              </w:rPr>
            </w:pPr>
          </w:p>
        </w:tc>
        <w:tc>
          <w:tcPr>
            <w:tcW w:w="7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(717)</w:t>
            </w: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3"/>
                <w:szCs w:val="13"/>
                <w:color w:val="auto"/>
              </w:rPr>
              <w:t>sale securities, net of reclassification adjustment</w:t>
            </w:r>
          </w:p>
        </w:tc>
        <w:tc>
          <w:tcPr>
            <w:tcW w:w="660" w:type="dxa"/>
            <w:vAlign w:val="bottom"/>
            <w:vMerge w:val="continue"/>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2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vMerge w:val="continue"/>
            <w:shd w:val="clear" w:color="auto" w:fill="CFF0FC"/>
          </w:tcPr>
          <w:p>
            <w:pPr>
              <w:spacing w:after="0"/>
              <w:rPr>
                <w:sz w:val="12"/>
                <w:szCs w:val="12"/>
                <w:color w:val="auto"/>
              </w:rPr>
            </w:pPr>
          </w:p>
        </w:tc>
        <w:tc>
          <w:tcPr>
            <w:tcW w:w="100" w:type="dxa"/>
            <w:vAlign w:val="bottom"/>
            <w:tcBorders>
              <w:right w:val="single" w:sz="8" w:color="CFF0FC"/>
            </w:tcBorders>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420" w:type="dxa"/>
            <w:vAlign w:val="bottom"/>
            <w:vMerge w:val="continue"/>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vMerge w:val="continue"/>
            <w:shd w:val="clear" w:color="auto" w:fill="CFF0FC"/>
          </w:tcPr>
          <w:p>
            <w:pPr>
              <w:spacing w:after="0"/>
              <w:rPr>
                <w:sz w:val="12"/>
                <w:szCs w:val="12"/>
                <w:color w:val="auto"/>
              </w:rPr>
            </w:pPr>
          </w:p>
        </w:tc>
        <w:tc>
          <w:tcPr>
            <w:tcW w:w="100" w:type="dxa"/>
            <w:vAlign w:val="bottom"/>
            <w:tcBorders>
              <w:right w:val="single" w:sz="8" w:color="CFF0FC"/>
            </w:tcBorders>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120" w:type="dxa"/>
            <w:vAlign w:val="bottom"/>
            <w:tcBorders>
              <w:right w:val="single" w:sz="8" w:color="CFF0FC"/>
            </w:tcBorders>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080" w:type="dxa"/>
            <w:vAlign w:val="bottom"/>
            <w:tcBorders>
              <w:top w:val="single" w:sz="8" w:color="CFF0FC"/>
            </w:tcBorders>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Balance at June 30, 2026</w:t>
            </w:r>
          </w:p>
        </w:tc>
        <w:tc>
          <w:tcPr>
            <w:tcW w:w="66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83,547,73</w:t>
            </w:r>
          </w:p>
        </w:tc>
        <w:tc>
          <w:tcPr>
            <w:tcW w:w="18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48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522,6</w:t>
            </w:r>
          </w:p>
        </w:tc>
        <w:tc>
          <w:tcPr>
            <w:tcW w:w="10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42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(54,6</w:t>
            </w: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(5,52</w:t>
            </w: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29</w:t>
            </w:r>
          </w:p>
        </w:tc>
        <w:tc>
          <w:tcPr>
            <w:tcW w:w="10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28,380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373,483</w:t>
            </w:r>
          </w:p>
        </w:tc>
        <w:tc>
          <w:tcPr>
            <w:tcW w:w="12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65)</w:t>
            </w:r>
          </w:p>
        </w:tc>
        <w:tc>
          <w:tcPr>
            <w:tcW w:w="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(152,255)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(930)</w:t>
            </w:r>
          </w:p>
        </w:tc>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214,785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5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7,437</w:t>
            </w:r>
          </w:p>
        </w:tc>
        <w:tc>
          <w:tcPr>
            <w:tcW w:w="12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4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7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0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Issuance of common stock under equity plan, net of</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shares withheld for taxes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1,655</w:t>
            </w:r>
          </w:p>
        </w:tc>
        <w:tc>
          <w:tcPr>
            <w:tcW w:w="1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6"/>
        </w:trPr>
        <w:tc>
          <w:tcPr>
            <w:tcW w:w="308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Conversion of Series B Preferred Stock into common</w:t>
            </w:r>
          </w:p>
        </w:tc>
        <w:tc>
          <w:tcPr>
            <w:tcW w:w="66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(76,43</w:t>
            </w:r>
          </w:p>
        </w:tc>
        <w:tc>
          <w:tcPr>
            <w:tcW w:w="10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7,643,300</w:t>
            </w:r>
          </w:p>
        </w:tc>
        <w:tc>
          <w:tcPr>
            <w:tcW w:w="18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70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0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Exercise of Enrollment Date and Release Date</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76,43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Warrants into Series B Preferred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12,378</w:t>
            </w:r>
          </w:p>
        </w:tc>
        <w:tc>
          <w:tcPr>
            <w:tcW w:w="12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08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Issuance costs related to the March 2026 Public</w:t>
            </w:r>
          </w:p>
        </w:tc>
        <w:tc>
          <w:tcPr>
            <w:tcW w:w="66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Offering</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(22,300)</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(22,300)</w:t>
            </w: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5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4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7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0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Unrealized loss, change in fair value of available-for-</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(1,414)</w:t>
            </w:r>
          </w:p>
        </w:tc>
        <w:tc>
          <w:tcPr>
            <w:tcW w:w="120" w:type="dxa"/>
            <w:vAlign w:val="bottom"/>
          </w:tcPr>
          <w:p>
            <w:pPr>
              <w:spacing w:after="0"/>
              <w:rPr>
                <w:sz w:val="11"/>
                <w:szCs w:val="11"/>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(1,414)</w:t>
            </w:r>
          </w:p>
        </w:tc>
        <w:tc>
          <w:tcPr>
            <w:tcW w:w="0" w:type="dxa"/>
            <w:vAlign w:val="bottom"/>
          </w:tcPr>
          <w:p>
            <w:pPr>
              <w:spacing w:after="0"/>
              <w:rPr>
                <w:sz w:val="1"/>
                <w:szCs w:val="1"/>
                <w:color w:val="auto"/>
              </w:rPr>
            </w:pPr>
          </w:p>
        </w:tc>
      </w:tr>
      <w:tr>
        <w:trPr>
          <w:trHeight w:val="148"/>
        </w:trPr>
        <w:tc>
          <w:tcPr>
            <w:tcW w:w="308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sale securities, net of reclassification adjustment</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Balance at September 30, 2026</w:t>
            </w:r>
          </w:p>
        </w:tc>
        <w:tc>
          <w:tcPr>
            <w:tcW w:w="660" w:type="dxa"/>
            <w:vAlign w:val="bottom"/>
            <w:tcBorders>
              <w:top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91,192,68</w:t>
            </w:r>
          </w:p>
        </w:tc>
        <w:tc>
          <w:tcPr>
            <w:tcW w:w="180" w:type="dxa"/>
            <w:vAlign w:val="bottom"/>
            <w:tcBorders>
              <w:right w:val="single" w:sz="8" w:color="CFF0FC"/>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522,6</w:t>
            </w:r>
          </w:p>
        </w:tc>
        <w:tc>
          <w:tcPr>
            <w:tcW w:w="100" w:type="dxa"/>
            <w:vAlign w:val="bottom"/>
            <w:tcBorders>
              <w:right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(54,6</w:t>
            </w: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(5,52</w:t>
            </w: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0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w:t>
            </w:r>
          </w:p>
        </w:tc>
        <w:tc>
          <w:tcPr>
            <w:tcW w:w="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29</w:t>
            </w:r>
          </w:p>
        </w:tc>
        <w:tc>
          <w:tcPr>
            <w:tcW w:w="10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28,380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393,291</w:t>
            </w:r>
          </w:p>
        </w:tc>
        <w:tc>
          <w:tcPr>
            <w:tcW w:w="12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65)</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(174,555) $</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(2,303)</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210,921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-4671060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-4653915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-4671060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-4653915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-4671060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-4653915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-4671060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-4653915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-4671060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-4653915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-4671060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-4653915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-4671060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-4653915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-4671060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-4653915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-4671060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-4653915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-4671060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-4653915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-4671060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-4653915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-4671060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-4653915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-3333750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-3333750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-3333750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-3333750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-3333750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-3333750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-3333750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-3333750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-3333750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-3333750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-3333750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-1636395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-1636395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-1636395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-1636395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-1636395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-1636395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-1636395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-1636395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-1636395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-1636395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-1636395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-25400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-25400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-25400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-25400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-25400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-25400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-25400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-25400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SAB Biotherapeutics, Inc.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Stockholders’ Equity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 except par value and share amounts)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71755</wp:posOffset>
            </wp:positionV>
            <wp:extent cx="102235" cy="2311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235" cy="231140"/>
                    </a:xfrm>
                    <a:prstGeom prst="rect">
                      <a:avLst/>
                    </a:prstGeom>
                    <a:noFill/>
                  </pic:spPr>
                </pic:pic>
              </a:graphicData>
            </a:graphic>
          </wp:anchor>
        </w:drawing>
        <w:drawing>
          <wp:anchor simplePos="0" relativeHeight="251657728" behindDoc="1" locked="0" layoutInCell="0" allowOverlap="1">
            <wp:simplePos x="0" y="0"/>
            <wp:positionH relativeFrom="column">
              <wp:posOffset>3095625</wp:posOffset>
            </wp:positionH>
            <wp:positionV relativeFrom="paragraph">
              <wp:posOffset>71755</wp:posOffset>
            </wp:positionV>
            <wp:extent cx="102870" cy="2311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23114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71755</wp:posOffset>
            </wp:positionV>
            <wp:extent cx="93980" cy="2311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5332730</wp:posOffset>
            </wp:positionH>
            <wp:positionV relativeFrom="paragraph">
              <wp:posOffset>71755</wp:posOffset>
            </wp:positionV>
            <wp:extent cx="93980" cy="2311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23114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400" w:type="dxa"/>
            <w:vAlign w:val="bottom"/>
          </w:tcPr>
          <w:p>
            <w:pPr>
              <w:spacing w:after="0"/>
              <w:rPr>
                <w:sz w:val="11"/>
                <w:szCs w:val="11"/>
                <w:color w:val="auto"/>
              </w:rPr>
            </w:pPr>
          </w:p>
        </w:tc>
        <w:tc>
          <w:tcPr>
            <w:tcW w:w="1220" w:type="dxa"/>
            <w:vAlign w:val="bottom"/>
            <w:tcBorders>
              <w:top w:val="single" w:sz="8" w:color="auto"/>
            </w:tcBorders>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1"/>
                <w:szCs w:val="11"/>
                <w:color w:val="auto"/>
              </w:rPr>
            </w:pPr>
          </w:p>
        </w:tc>
        <w:tc>
          <w:tcPr>
            <w:tcW w:w="1160" w:type="dxa"/>
            <w:vAlign w:val="bottom"/>
            <w:tcBorders>
              <w:top w:val="single" w:sz="8" w:color="auto"/>
            </w:tcBorders>
            <w:gridSpan w:val="4"/>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Series B Preferred</w:t>
            </w:r>
          </w:p>
        </w:tc>
        <w:tc>
          <w:tcPr>
            <w:tcW w:w="120" w:type="dxa"/>
            <w:vAlign w:val="bottom"/>
          </w:tcPr>
          <w:p>
            <w:pPr>
              <w:spacing w:after="0"/>
              <w:rPr>
                <w:sz w:val="11"/>
                <w:szCs w:val="11"/>
                <w:color w:val="auto"/>
              </w:rPr>
            </w:pPr>
          </w:p>
        </w:tc>
        <w:tc>
          <w:tcPr>
            <w:tcW w:w="1180" w:type="dxa"/>
            <w:vAlign w:val="bottom"/>
            <w:tcBorders>
              <w:top w:val="single" w:sz="8" w:color="auto"/>
            </w:tcBorders>
            <w:gridSpan w:val="4"/>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Series A Preferred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Borders>
              <w:top w:val="single" w:sz="8" w:color="auto"/>
            </w:tcBorders>
            <w:gridSpan w:val="4"/>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400" w:type="dxa"/>
            <w:vAlign w:val="bottom"/>
          </w:tcPr>
          <w:p>
            <w:pPr>
              <w:spacing w:after="0"/>
              <w:rPr>
                <w:sz w:val="15"/>
                <w:szCs w:val="15"/>
                <w:color w:val="auto"/>
              </w:rPr>
            </w:pPr>
          </w:p>
        </w:tc>
        <w:tc>
          <w:tcPr>
            <w:tcW w:w="122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bottom w:val="single" w:sz="8" w:color="auto"/>
            </w:tcBorders>
            <w:gridSpan w:val="3"/>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bottom w:val="single" w:sz="8" w:color="auto"/>
            </w:tcBorders>
            <w:gridSpan w:val="3"/>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gridSpan w:val="4"/>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w:t>
            </w: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w:t>
            </w: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5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tcPr>
          <w:p>
            <w:pPr>
              <w:spacing w:after="0"/>
              <w:rPr>
                <w:sz w:val="12"/>
                <w:szCs w:val="12"/>
                <w:color w:val="auto"/>
              </w:rPr>
            </w:pPr>
          </w:p>
        </w:tc>
        <w:tc>
          <w:tcPr>
            <w:tcW w:w="6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9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ive Income</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w:t>
            </w:r>
          </w:p>
        </w:tc>
        <w:tc>
          <w:tcPr>
            <w:tcW w:w="0" w:type="dxa"/>
            <w:vAlign w:val="bottom"/>
          </w:tcPr>
          <w:p>
            <w:pPr>
              <w:spacing w:after="0"/>
              <w:rPr>
                <w:sz w:val="1"/>
                <w:szCs w:val="1"/>
                <w:color w:val="auto"/>
              </w:rPr>
            </w:pPr>
          </w:p>
        </w:tc>
      </w:tr>
      <w:tr>
        <w:trPr>
          <w:trHeight w:val="173"/>
        </w:trPr>
        <w:tc>
          <w:tcPr>
            <w:tcW w:w="240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nt</w:t>
            </w:r>
          </w:p>
        </w:tc>
        <w:tc>
          <w:tcPr>
            <w:tcW w:w="120" w:type="dxa"/>
            <w:vAlign w:val="bottom"/>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nt</w:t>
            </w:r>
          </w:p>
        </w:tc>
        <w:tc>
          <w:tcPr>
            <w:tcW w:w="120" w:type="dxa"/>
            <w:vAlign w:val="bottom"/>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0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70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9,343,53</w:t>
            </w:r>
          </w:p>
        </w:tc>
        <w:tc>
          <w:tcPr>
            <w:tcW w:w="120" w:type="dxa"/>
            <w:vAlign w:val="bottom"/>
            <w:vMerge w:val="restart"/>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shd w:val="clear" w:color="auto" w:fill="CFF0FC"/>
          </w:tcPr>
          <w:p>
            <w:pPr>
              <w:spacing w:after="0"/>
              <w:rPr>
                <w:sz w:val="10"/>
                <w:szCs w:val="10"/>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vMerge w:val="restart"/>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42,019</w:t>
            </w: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155,794</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(54,66</w:t>
            </w:r>
          </w:p>
        </w:tc>
        <w:tc>
          <w:tcPr>
            <w:tcW w:w="10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(5,521) $</w:t>
            </w:r>
          </w:p>
        </w:tc>
        <w:tc>
          <w:tcPr>
            <w:tcW w:w="8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(124,169) $</w:t>
            </w:r>
          </w:p>
        </w:tc>
        <w:tc>
          <w:tcPr>
            <w:tcW w:w="80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(135)</w:t>
            </w: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25,970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4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2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34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5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180" w:type="dxa"/>
            <w:vAlign w:val="bottom"/>
            <w:gridSpan w:val="2"/>
            <w:vMerge w:val="continue"/>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w:t>
            </w:r>
          </w:p>
        </w:tc>
        <w:tc>
          <w:tcPr>
            <w:tcW w:w="160" w:type="dxa"/>
            <w:vAlign w:val="bottom"/>
            <w:vMerge w:val="continue"/>
            <w:shd w:val="clear" w:color="auto" w:fill="CFF0FC"/>
          </w:tcPr>
          <w:p>
            <w:pPr>
              <w:spacing w:after="0"/>
              <w:rPr>
                <w:sz w:val="18"/>
                <w:szCs w:val="18"/>
                <w:color w:val="auto"/>
              </w:rPr>
            </w:pPr>
          </w:p>
        </w:tc>
        <w:tc>
          <w:tcPr>
            <w:tcW w:w="720" w:type="dxa"/>
            <w:vAlign w:val="bottom"/>
            <w:gridSpan w:val="3"/>
            <w:vMerge w:val="continue"/>
            <w:shd w:val="clear" w:color="auto" w:fill="CFF0FC"/>
          </w:tcPr>
          <w:p>
            <w:pPr>
              <w:spacing w:after="0"/>
              <w:rPr>
                <w:sz w:val="18"/>
                <w:szCs w:val="18"/>
                <w:color w:val="auto"/>
              </w:rPr>
            </w:pPr>
          </w:p>
        </w:tc>
        <w:tc>
          <w:tcPr>
            <w:tcW w:w="880" w:type="dxa"/>
            <w:vAlign w:val="bottom"/>
            <w:gridSpan w:val="3"/>
            <w:vMerge w:val="continue"/>
            <w:shd w:val="clear" w:color="auto" w:fill="CFF0FC"/>
          </w:tcPr>
          <w:p>
            <w:pPr>
              <w:spacing w:after="0"/>
              <w:rPr>
                <w:sz w:val="18"/>
                <w:szCs w:val="18"/>
                <w:color w:val="auto"/>
              </w:rPr>
            </w:pPr>
          </w:p>
        </w:tc>
        <w:tc>
          <w:tcPr>
            <w:tcW w:w="800" w:type="dxa"/>
            <w:vAlign w:val="bottom"/>
            <w:tcBorders>
              <w:right w:val="single" w:sz="8" w:color="CFF0FC"/>
            </w:tcBorders>
            <w:gridSpan w:val="2"/>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40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ind w:left="180"/>
              <w:spacing w:after="0" w:line="12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top w:val="single" w:sz="8" w:color="CFF0FC"/>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ind w:left="200"/>
              <w:spacing w:after="0" w:line="12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613</w:t>
            </w:r>
          </w:p>
        </w:tc>
        <w:tc>
          <w:tcPr>
            <w:tcW w:w="10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613</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4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pursuant to</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2,829</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3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5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tcBorders>
              <w:right w:val="single" w:sz="8" w:color="CFF0FC"/>
            </w:tcBorders>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Payment of taxes withheld on issuance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of restricted stock units</w:t>
            </w: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58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(5,197)</w:t>
            </w:r>
          </w:p>
        </w:tc>
        <w:tc>
          <w:tcPr>
            <w:tcW w:w="100" w:type="dxa"/>
            <w:vAlign w:val="bottom"/>
            <w:shd w:val="clear" w:color="auto" w:fill="CFF0FC"/>
          </w:tcPr>
          <w:p>
            <w:pPr>
              <w:spacing w:after="0"/>
              <w:rPr>
                <w:sz w:val="12"/>
                <w:szCs w:val="12"/>
                <w:color w:val="auto"/>
              </w:rPr>
            </w:pPr>
          </w:p>
        </w:tc>
        <w:tc>
          <w:tcPr>
            <w:tcW w:w="80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(5,197)</w:t>
            </w: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Unrealized loss, change in fair value</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vMerge w:val="restart"/>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58"/>
        </w:trPr>
        <w:tc>
          <w:tcPr>
            <w:tcW w:w="240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of available-for-sale securities</w:t>
            </w:r>
          </w:p>
        </w:tc>
        <w:tc>
          <w:tcPr>
            <w:tcW w:w="70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vMerge w:val="continue"/>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80" w:type="dxa"/>
            <w:vAlign w:val="bottom"/>
            <w:vMerge w:val="continue"/>
            <w:shd w:val="clear" w:color="auto" w:fill="CFF0FC"/>
          </w:tcPr>
          <w:p>
            <w:pPr>
              <w:spacing w:after="0"/>
              <w:rPr>
                <w:sz w:val="13"/>
                <w:szCs w:val="13"/>
                <w:color w:val="auto"/>
              </w:rPr>
            </w:pPr>
          </w:p>
        </w:tc>
        <w:tc>
          <w:tcPr>
            <w:tcW w:w="100" w:type="dxa"/>
            <w:vAlign w:val="bottom"/>
            <w:tcBorders>
              <w:right w:val="single" w:sz="8" w:color="CFF0FC"/>
            </w:tcBorders>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tcBorders>
              <w:right w:val="single" w:sz="8" w:color="CFF0FC"/>
            </w:tcBorders>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40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9,346,36</w:t>
            </w:r>
          </w:p>
        </w:tc>
        <w:tc>
          <w:tcPr>
            <w:tcW w:w="120" w:type="dxa"/>
            <w:vAlign w:val="bottom"/>
            <w:vMerge w:val="restart"/>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vMerge w:val="restart"/>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42,019</w:t>
            </w:r>
          </w:p>
        </w:tc>
        <w:tc>
          <w:tcPr>
            <w:tcW w:w="12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156,405</w:t>
            </w:r>
          </w:p>
        </w:tc>
        <w:tc>
          <w:tcPr>
            <w:tcW w:w="100" w:type="dxa"/>
            <w:vAlign w:val="bottom"/>
          </w:tcPr>
          <w:p>
            <w:pPr>
              <w:spacing w:after="0"/>
              <w:rPr>
                <w:sz w:val="10"/>
                <w:szCs w:val="10"/>
                <w:color w:val="auto"/>
              </w:rPr>
            </w:pPr>
          </w:p>
        </w:tc>
        <w:tc>
          <w:tcPr>
            <w:tcW w:w="5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(54,66</w:t>
            </w:r>
          </w:p>
        </w:tc>
        <w:tc>
          <w:tcPr>
            <w:tcW w:w="100" w:type="dxa"/>
            <w:vAlign w:val="bottom"/>
          </w:tcPr>
          <w:p>
            <w:pPr>
              <w:spacing w:after="0"/>
              <w:rPr>
                <w:sz w:val="10"/>
                <w:szCs w:val="10"/>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(5,521)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(129,366)</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(111)</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21,408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w:t>
            </w:r>
          </w:p>
        </w:tc>
        <w:tc>
          <w:tcPr>
            <w:tcW w:w="16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627</w:t>
            </w: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58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(10,114)</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(10,114)</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58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gain, change in fair value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40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of available-for-sale securities</w:t>
            </w:r>
          </w:p>
        </w:tc>
        <w:tc>
          <w:tcPr>
            <w:tcW w:w="7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40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70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9,346,36</w:t>
            </w: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6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42,019</w:t>
            </w: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157,032</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(54,66</w:t>
            </w:r>
          </w:p>
        </w:tc>
        <w:tc>
          <w:tcPr>
            <w:tcW w:w="10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(5,521)</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(139,480)</w:t>
            </w: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(16)</w:t>
            </w: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12,016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gridSpan w:val="2"/>
            <w:vMerge w:val="continue"/>
            <w:shd w:val="clear" w:color="auto" w:fill="CFF0FC"/>
          </w:tcPr>
          <w:p>
            <w:pPr>
              <w:spacing w:after="0"/>
              <w:rPr>
                <w:sz w:val="15"/>
                <w:szCs w:val="15"/>
                <w:color w:val="auto"/>
              </w:rPr>
            </w:pPr>
          </w:p>
        </w:tc>
        <w:tc>
          <w:tcPr>
            <w:tcW w:w="30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gridSpan w:val="2"/>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340" w:type="dxa"/>
            <w:vAlign w:val="bottom"/>
            <w:vMerge w:val="continue"/>
            <w:shd w:val="clear" w:color="auto" w:fill="CFF0FC"/>
          </w:tcPr>
          <w:p>
            <w:pPr>
              <w:spacing w:after="0"/>
              <w:rPr>
                <w:sz w:val="15"/>
                <w:szCs w:val="15"/>
                <w:color w:val="auto"/>
              </w:rPr>
            </w:pPr>
          </w:p>
        </w:tc>
        <w:tc>
          <w:tcPr>
            <w:tcW w:w="66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vMerge w:val="continue"/>
            <w:shd w:val="clear" w:color="auto" w:fill="CFF0FC"/>
          </w:tcPr>
          <w:p>
            <w:pPr>
              <w:spacing w:after="0"/>
              <w:rPr>
                <w:sz w:val="15"/>
                <w:szCs w:val="15"/>
                <w:color w:val="auto"/>
              </w:rPr>
            </w:pPr>
          </w:p>
        </w:tc>
        <w:tc>
          <w:tcPr>
            <w:tcW w:w="360" w:type="dxa"/>
            <w:vAlign w:val="bottom"/>
            <w:vMerge w:val="continue"/>
            <w:shd w:val="clear" w:color="auto" w:fill="CFF0FC"/>
          </w:tcPr>
          <w:p>
            <w:pPr>
              <w:spacing w:after="0"/>
              <w:rPr>
                <w:sz w:val="15"/>
                <w:szCs w:val="15"/>
                <w:color w:val="auto"/>
              </w:rPr>
            </w:pPr>
          </w:p>
        </w:tc>
        <w:tc>
          <w:tcPr>
            <w:tcW w:w="180" w:type="dxa"/>
            <w:vAlign w:val="bottom"/>
            <w:gridSpan w:val="2"/>
            <w:vMerge w:val="continue"/>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w:t>
            </w:r>
          </w:p>
        </w:tc>
        <w:tc>
          <w:tcPr>
            <w:tcW w:w="160" w:type="dxa"/>
            <w:vAlign w:val="bottom"/>
            <w:vMerge w:val="continue"/>
            <w:shd w:val="clear" w:color="auto" w:fill="CFF0FC"/>
          </w:tcPr>
          <w:p>
            <w:pPr>
              <w:spacing w:after="0"/>
              <w:rPr>
                <w:sz w:val="15"/>
                <w:szCs w:val="15"/>
                <w:color w:val="auto"/>
              </w:rPr>
            </w:pPr>
          </w:p>
        </w:tc>
        <w:tc>
          <w:tcPr>
            <w:tcW w:w="580" w:type="dxa"/>
            <w:vAlign w:val="bottom"/>
            <w:tcBorders>
              <w:right w:val="single" w:sz="8" w:color="CFF0FC"/>
            </w:tcBorders>
            <w:gridSpan w:val="2"/>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780" w:type="dxa"/>
            <w:vAlign w:val="bottom"/>
            <w:gridSpan w:val="2"/>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800" w:type="dxa"/>
            <w:vAlign w:val="bottom"/>
            <w:tcBorders>
              <w:right w:val="single" w:sz="8" w:color="CFF0FC"/>
            </w:tcBorders>
            <w:gridSpan w:val="2"/>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801</w:t>
            </w: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Conversion of Series A Preferred</w:t>
            </w:r>
          </w:p>
        </w:tc>
        <w:tc>
          <w:tcPr>
            <w:tcW w:w="7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2,052,06</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(12,92</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5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into common shares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shd w:val="clear" w:color="auto" w:fill="CFF0FC"/>
          </w:tcPr>
          <w:p>
            <w:pPr>
              <w:spacing w:after="0"/>
              <w:rPr>
                <w:sz w:val="14"/>
                <w:szCs w:val="14"/>
                <w:color w:val="auto"/>
              </w:rPr>
            </w:pPr>
          </w:p>
        </w:tc>
        <w:tc>
          <w:tcPr>
            <w:tcW w:w="3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tcBorders>
              <w:right w:val="single" w:sz="8" w:color="CFF0FC"/>
            </w:tcBorders>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B Preferred Stock</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and warrants under private placement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offering</w:t>
            </w: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Reclassification of Redeemable</w:t>
            </w: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Preferred Stock to Permanent Equity</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16,039</w:t>
            </w:r>
          </w:p>
        </w:tc>
        <w:tc>
          <w:tcPr>
            <w:tcW w:w="100" w:type="dxa"/>
            <w:vAlign w:val="bottom"/>
            <w:shd w:val="clear" w:color="auto" w:fill="CFF0FC"/>
          </w:tcPr>
          <w:p>
            <w:pPr>
              <w:spacing w:after="0"/>
              <w:rPr>
                <w:sz w:val="12"/>
                <w:szCs w:val="12"/>
                <w:color w:val="auto"/>
              </w:rPr>
            </w:pPr>
          </w:p>
        </w:tc>
        <w:tc>
          <w:tcPr>
            <w:tcW w:w="6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5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upon Requisite Approval</w:t>
            </w: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tcBorders>
              <w:right w:val="single" w:sz="8" w:color="CFF0FC"/>
            </w:tcBorders>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Series B Preferred</w:t>
            </w: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36,144,2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7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(361,44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Stock into common 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Reclassification of PIPE Warrants to</w:t>
            </w: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Permanent Equity following</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90,691</w:t>
            </w:r>
          </w:p>
        </w:tc>
        <w:tc>
          <w:tcPr>
            <w:tcW w:w="100" w:type="dxa"/>
            <w:vAlign w:val="bottom"/>
            <w:shd w:val="clear" w:color="auto" w:fill="CFF0FC"/>
          </w:tcPr>
          <w:p>
            <w:pPr>
              <w:spacing w:after="0"/>
              <w:rPr>
                <w:sz w:val="12"/>
                <w:szCs w:val="12"/>
                <w:color w:val="auto"/>
              </w:rPr>
            </w:pPr>
          </w:p>
        </w:tc>
        <w:tc>
          <w:tcPr>
            <w:tcW w:w="6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5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90,691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shareholder approval</w:t>
            </w: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tcBorders>
              <w:right w:val="single" w:sz="8" w:color="CFF0FC"/>
            </w:tcBorders>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pursuant to</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6,036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Payment of taxes withheld on issuance</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3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6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5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of restricted stock units</w:t>
            </w: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tcBorders>
              <w:right w:val="single" w:sz="8" w:color="CFF0FC"/>
            </w:tcBorders>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45,445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58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0" w:type="dxa"/>
            <w:vAlign w:val="bottom"/>
            <w:tcBorders>
              <w:right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gain, change in fair value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40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of available-for-sale securities</w:t>
            </w:r>
          </w:p>
        </w:tc>
        <w:tc>
          <w:tcPr>
            <w:tcW w:w="7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40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70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47,548,6</w:t>
            </w:r>
          </w:p>
        </w:tc>
        <w:tc>
          <w:tcPr>
            <w:tcW w:w="120" w:type="dxa"/>
            <w:vAlign w:val="bottom"/>
            <w:vMerge w:val="restart"/>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70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638,55</w:t>
            </w:r>
          </w:p>
        </w:tc>
        <w:tc>
          <w:tcPr>
            <w:tcW w:w="12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vMerge w:val="restart"/>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29,091</w:t>
            </w: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264,554</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(54,66</w:t>
            </w:r>
          </w:p>
        </w:tc>
        <w:tc>
          <w:tcPr>
            <w:tcW w:w="10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(5,521) $</w:t>
            </w:r>
          </w:p>
        </w:tc>
        <w:tc>
          <w:tcPr>
            <w:tcW w:w="8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(94,035) $</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71</w:t>
            </w: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165,074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4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59</w:t>
            </w:r>
          </w:p>
        </w:tc>
        <w:tc>
          <w:tcPr>
            <w:tcW w:w="120" w:type="dxa"/>
            <w:vAlign w:val="bottom"/>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2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34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360" w:type="dxa"/>
            <w:vAlign w:val="bottom"/>
            <w:vMerge w:val="continue"/>
            <w:shd w:val="clear" w:color="auto" w:fill="CFF0FC"/>
          </w:tcPr>
          <w:p>
            <w:pPr>
              <w:spacing w:after="0"/>
              <w:rPr>
                <w:sz w:val="16"/>
                <w:szCs w:val="16"/>
                <w:color w:val="auto"/>
              </w:rPr>
            </w:pPr>
          </w:p>
        </w:tc>
        <w:tc>
          <w:tcPr>
            <w:tcW w:w="180" w:type="dxa"/>
            <w:vAlign w:val="bottom"/>
            <w:gridSpan w:val="2"/>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w:t>
            </w:r>
          </w:p>
        </w:tc>
        <w:tc>
          <w:tcPr>
            <w:tcW w:w="160" w:type="dxa"/>
            <w:vAlign w:val="bottom"/>
            <w:vMerge w:val="continue"/>
            <w:shd w:val="clear" w:color="auto" w:fill="CFF0FC"/>
          </w:tcPr>
          <w:p>
            <w:pPr>
              <w:spacing w:after="0"/>
              <w:rPr>
                <w:sz w:val="16"/>
                <w:szCs w:val="16"/>
                <w:color w:val="auto"/>
              </w:rPr>
            </w:pPr>
          </w:p>
        </w:tc>
        <w:tc>
          <w:tcPr>
            <w:tcW w:w="720" w:type="dxa"/>
            <w:vAlign w:val="bottom"/>
            <w:gridSpan w:val="3"/>
            <w:vMerge w:val="continue"/>
            <w:shd w:val="clear" w:color="auto" w:fill="CFF0FC"/>
          </w:tcPr>
          <w:p>
            <w:pPr>
              <w:spacing w:after="0"/>
              <w:rPr>
                <w:sz w:val="16"/>
                <w:szCs w:val="16"/>
                <w:color w:val="auto"/>
              </w:rPr>
            </w:pPr>
          </w:p>
        </w:tc>
        <w:tc>
          <w:tcPr>
            <w:tcW w:w="880" w:type="dxa"/>
            <w:vAlign w:val="bottom"/>
            <w:gridSpan w:val="3"/>
            <w:vMerge w:val="continue"/>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-4011295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-3994150</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-4011295</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-3994150</wp:posOffset>
            </wp:positionV>
            <wp:extent cx="768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-4011295</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-3994150</wp:posOffset>
            </wp:positionV>
            <wp:extent cx="768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-4011295</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-3994150</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-4011295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-3994150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-4011295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-3994150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-4011295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-3994150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-4011295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-3994150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-4011295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-3994150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-4011295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-3994150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-4011295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-3994150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-3994150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-3145155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-3145155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-3145155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-3145155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-3145155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-3145155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-3145155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-3145155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-3145155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-3145155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-3145155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-3145155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-24765</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-7620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-24765</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-7620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-24765</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-7620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-24765</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-7620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SAB Biotherapeutics,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60" w:type="dxa"/>
            <w:vAlign w:val="bottom"/>
            <w:gridSpan w:val="7"/>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 (loss)</w:t>
            </w:r>
          </w:p>
        </w:tc>
        <w:tc>
          <w:tcPr>
            <w:tcW w:w="114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(63,660)</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operating activities: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Amortization of finance right-of-use assets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Changes in fair value of warrant liabilities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(66,007)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sale of equipment</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non-cash items, net</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Operating lease right-of-use assets and liabilities, net</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(1,416)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(37,135)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(27,999)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Proceeds from the sale of equipment</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(3,912)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Purchases of investments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(159,588)</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(129,991)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Proceeds from sales and maturities of investments</w:t>
            </w:r>
          </w:p>
        </w:tc>
        <w:tc>
          <w:tcPr>
            <w:tcW w:w="2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(64,462)</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(119,999)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Proceeds from the March 2026 Public Offering and Underwriters' Option, net of issuance costs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88,692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Proceeds from exercise of Enrollment Date and Release Date Warrants, net of fees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16,564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Proceeds from the 2025 PIPE, net of Series B issuance costs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Principal payments on financed director and officer insurance and finance leases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Proceeds from exercise of stock options and issuance of common stock, net of taxes paid related to net share</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settlement</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2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105,286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168,341</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20,527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Beginning of period</w:t>
            </w:r>
          </w:p>
        </w:tc>
        <w:tc>
          <w:tcPr>
            <w:tcW w:w="2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10,503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End of period</w:t>
            </w:r>
          </w:p>
        </w:tc>
        <w:tc>
          <w:tcPr>
            <w:tcW w:w="114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14,438</w:t>
            </w:r>
          </w:p>
        </w:tc>
        <w:tc>
          <w:tcPr>
            <w:tcW w:w="16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paid for interest</w:t>
            </w:r>
          </w:p>
        </w:tc>
        <w:tc>
          <w:tcPr>
            <w:tcW w:w="114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6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information on non-cash investing and finance activities: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Right-of-use asset written off due to early and partial termination of lease</w:t>
            </w:r>
          </w:p>
        </w:tc>
        <w:tc>
          <w:tcPr>
            <w:tcW w:w="1140" w:type="dxa"/>
            <w:vAlign w:val="bottom"/>
            <w:gridSpan w:val="2"/>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Operating lease liability written off due to early and partial termination of lease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liabilities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Purchases of property, plant and equipment included in accounts payable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Reclassification of warrants from liability to equity</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90,691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Reclassification of Redeemable Preferred Stock to Permanent Equity upon Requisite Approval</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Offering costs and warrant exercise fees included in accrued expenses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Trade-in of property, plant and equipment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-4710430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-4710430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-3656330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-3656330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-2490470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-2490470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-1710055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-1710055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SAB BIOTHERAPEUTICS, INC. AND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Liquidity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SAB Biotherapeutics, Inc., a Delaware corporation (“SAB”, “SAB Biotherapeutics” or “SAB BIO”, and together with its subsidiaries, the “Company”), is a clinical-stage biopharmaceutical company focused on developing multi-specific, high-potency, human immunoglobulin G (hIgG) to treat and prevent immune and autoimmune disorders. Using advanced genetic engineering and antibody science, SAB BIO developed a proprietary technology which holds the potential to generate additional novel therapeutic candidates utilizing the human immune response, without the need for human donors or convalescent plasma. SAB BIO has optimized genetic engineering in the development of transchromosomic cattle, or Tc-Bovine, to produce hIgG. SAB BIO's drug development production system is able to generate a diverse repertoire of specifically targeted, high-potency, hIgGs that can address a wide range of serious unmet needs in human diseases. The Company's lead candidate, SAB-142, targets autoimmune type 1 diabetes (“T1D”) with a disease-modifying therapeutic approach that aims to change the T1D treatment paradigm by delaying onset and potentially preventing disease progression of Stage 3 T1D patients. SAB-142 is currently being evaluated in newly diagnosed Stage 3 autoimmune T1D patients in a registrational Phase 2b clinical trial called SAFEGUARD.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 had an accumulated deficit of $174.6 million. The Company anticipates that it will continue to generate losses for the foreseeable future and expects the losses to increase as the Company funds product development, regulatory approval efforts, clinical trials, and commercial readiness activities, and will require additional capital to support its long-term plans.</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has funded its operations through, among other sources, the sale of equity securities, including the March 2026 Public Offering, and the exercise of Enrollment Date and Release Date Warrants from the Series B Offering, as defined in Note 8. During the three months ended September 30, 2026, the Company received gross proceeds of $13.4 million from the exercise of Enrollment Date Warrants and Release Date Warrants, before deducting placement agent fees. During the nine months ended September 30, 2026, the Company received gross proceeds of $95.0 million from the March 2026 Public Offering, before deducting underwriting discounts and commissions and offering expenses, and gross proceeds of $17.4 million from the exercise of Enrollment Date Warrants and Release Date Warrants, before deducting placement agent fees. As of September 30, 2026, the Company had cash, cash equivalents, and short-term and long-term investments of $205.3 million.</w:t>
      </w:r>
    </w:p>
    <w:p>
      <w:pPr>
        <w:spacing w:after="0" w:line="8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Based on the Company’s current level of operating expenses, existing resources will be sufficient to cover operating cash needs for at least one year from the date these condensed consolidated financial statements are issued. In the future, the Company may seek additional funding through a combination of equity or debt financings, or other third-party financing, collaborative or other funding arrangements.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 summary of the significant accounting policies applied in preparation of the accompanying condensed consolidated financial statements is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accounting principles generally accepted in the United States of America (“GAAP”) for interim financial statements and the rules of the Securities and Exchange Commission (“SEC”) applicable to interim financial statements.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The accompanying unaudited condensed consolidated financial statements have been prepared by management without audit and should be read in conjunction with our audited consolidated financial statements, including the notes thereto, appearing in our Annual Report on Form 10-K for the fiscal year ended December 31, 2025. In the opinion of management, all adjustments necessary for a fair presentation of the consolidated financial position, consolidated results of operations and other comprehensive income (loss) and consolidated cash flows, for the periods indicated, have been made. The results of operations for the three and nine months ended September 30, 2026 are not necessarily indicative of the results that may be expected for the year ending December 31, 2026, or any other period.</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These reclassifications had no effect on previously reported net income (loss), stockholders' equity, or net cash flows from operating, investing or financing activities.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The Company will cease to be an emerging growth company on December 31, 2026, the last day of the fiscal year following the fifth anniversary of the January 14, 2021 closing of the initial public offering of Big Cypress Acquisition Corp.</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 Beginning with its Annual Report on Form 10-K for the year ending December 31, 2026, the Company will no longer be eligible for the extended transition period and will be required to adopt new or revised accounting standards as of the effective dates applicable to public business entities, including any standards for which it previously applied private company effective dates. The Company does not expect the loss of emerging growth company status to have a material impact on its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results of the Company and its wholly owned subsidiaries, SAB Sciences, Inc., Diversity Therapeutics, Inc., SAB LLC, SAB Capra, LLC, Aurochs, LLC, and SAB BIO PTY LTD (“SAB Australia”). Intercompany balances and transactions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research and development efforts, clinical trial activities of the Company’s product candidates, the Company’s ability to obtain regulatory approval to market its product candidates, competition from products manufactured and sold or being developed by other companies, and the Company’s ability to raise capital.</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key employees and obtaining and protecting intellectual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revenue and expenses and the disclosure of contingent assets and liabilities in the financial statements. The Company has used significant estimates in its determination of stock-based compensation assumptions, determination of the fair value of the Private Placement Warrant and Preferred Tranche C Warrant liabilities, determination of the incremental borrowing rate (“IBR”) used in the calculation of the Company’s right-of-use-assets and lease liabilities, estimation of</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clinical and other accruals and the valuation allowance on deferred tax assets. Actual amounts realized may differ from these estimates.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that would be used to measure fair value into one of three levels: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Unadjusted quoted prices in active markets for identical assets or liabilities.</w:t>
      </w:r>
    </w:p>
    <w:p>
      <w:pPr>
        <w:spacing w:after="0" w:line="117" w:lineRule="exact"/>
        <w:rPr>
          <w:sz w:val="20"/>
          <w:szCs w:val="20"/>
          <w:color w:val="auto"/>
        </w:rPr>
      </w:pPr>
    </w:p>
    <w:p>
      <w:pPr>
        <w:ind w:left="520" w:right="360"/>
        <w:spacing w:after="0" w:line="282" w:lineRule="auto"/>
        <w:rPr>
          <w:sz w:val="20"/>
          <w:szCs w:val="20"/>
          <w:color w:val="auto"/>
        </w:rPr>
      </w:pPr>
      <w:r>
        <w:rPr>
          <w:rFonts w:ascii="Times New Roman" w:cs="Times New Roman" w:eastAsia="Times New Roman" w:hAnsi="Times New Roman"/>
          <w:sz w:val="18"/>
          <w:szCs w:val="18"/>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Unobservable inputs that reflect the reporting entity’s own assumptions.</w:t>
      </w:r>
    </w:p>
    <w:p>
      <w:pPr>
        <w:spacing w:after="0" w:line="11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Certain of the Company’s financial instruments are not measured at fair value on a recurring basis but are recorded at amounts that approximate their fair value due to the short-term nature of their maturities, such as cash and cash equivalents, accrued interest receivable, accounts payable, accrued expenses and other current liabilities.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warrants to purchase its common stock par value of $0.0001 per share (its “common stock”) pursuant to Accounting Standards Codification (“ASC”) Topic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(“ASC 470”), and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classifies warrants for common stock as liabilities or equity. The warrants classified as liabilities are reported at their estimated fair value (see Note 11,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and any changes in fair value are reflected in other income (expense). The warrants classified as equity are reported at their estimated relative fair value with no subsequent remeasurement. The Company’s outstanding warrants are discussed in more detail in Note 10,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Issuance Costs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issuance costs until such financings are consummated. After consummation of the equity financing, these costs are recorded in stockholders’ equity as a reduction of additional paid-in capital generated as a result of the issuance.</w:t>
      </w:r>
    </w:p>
    <w:p>
      <w:pPr>
        <w:spacing w:after="0" w:line="6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The Company did not have any deferred issuance costs as of September 30, 2026. As of December 31, 2025, the Company had $0.2 million of deferred issuance costs, related to the Company’s Shelf Registration Statement. The Shelf Registration Statement is discussed further in Note 8,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and long-term investments</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accounts for investments in accordance with ASC Topic 320, Investments - Debt and Equity Securities. Management determines the appropriate classification of its investments at the time of purchase and reevaluates such determinations at each reporting period.</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September 30, 2026, the Company’s short-term and long-term investments consisted of U.S. treasury securities with original maturity exceeding 90 days, and investments in exchange traded mutual funds. The Company classifies these securities as current and non-current. The Company considers all of its debt securities for which there is a determinable fair market value, and there are no restrictions on the Company’s ability to sell within the next twelve months, as available-for-sale securities.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accordance with ASC Topic 321, Investments - Equity Securities, the Company recognizes the change in fair value of its equity securities with readily determinable fair values within other income in the condensed consolidated statements of operations and comprehensive income (loss), and available-for-sale debt securities are measured at fair value with unrealized gains and losses reported in accumulated other comprehensive income (loss) in the condensed consolidated balance sheets.</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reviews its investments at each reporting date to identify and evaluate whether a decline in fair value below the amortized cost basis of available-for-sale debt securities is due to credit-related factors and determines if such unrealized losses are the result of credit losses that require impairment. The Company records an allowance for credit losses on available-for-sale debt securities when a decline in fair value is determined to be credit-related, rather than recording a direct write-down of the investment's amortized cost. Factors considered in determining whether an unrealized loss is the result of credit-related factors include the extent to which the fair value is less than the cost basis, any changes to the rating of the security by a rating agency, the financial condition and near-term prospects of the issuer, any historical failure of the issuer to make scheduled interest or principal payments, any adverse legal or regulatory events affecting the issuer or issuer’s industry, any significant deterioration in economic condition and the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Company’s intent and ability to hold the investment for a period of time sufficient to allow for any anticipated recovery in market value.</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credit losses on its short-term and long-term investments during the three and nine months ended September 30, 2026 and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maintains its cash and cash equivalent balances in the form of business checking accounts and money market accounts, the balances of which, at times, may exceed federally insured limits. Although the Company currently believes that the financial institutions with whom it does business will be able to fulfill their commitments to the Company, there is no assurance that those institutions will be able to continue to do so. The Company has not experienced any credit losses associated with its balances in such accounts for the three and nine months ended September 30, 2026 and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 and right-of-use assets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The Company is party to certain contractual arrangements for equipment, lab space, and an animal facility, which meet the definition of leases under Financial Accounting Standards Board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In accordance with ASC 842, the Company recorded right-of-use assets and related lease liabilities for the present value of the lease payments over the lease terms. The Company’s IBR was used in the calculation of its right-of-use assets and lease liabilities.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elected not to apply the recognition requirements of ASC 842 to short-term leases, which are deemed to be leases with a lease term of twelve months or less. Instead, the Company recognizes lease payments in the condensed consolidated statements of operations and comprehensive income (loss) on a straight-line basis over the lease term and variable payments in the period in which the obligation for these payments was incurred. The Company elected this policy for all classes of underlying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Expenses incurred in connection with research and development activities are expensed as incurred. These include fees paid to consultants and various entities that perform certain research and testing on behalf of the Company, and expenses related to animal care, research-use equipment depreciation, salaries, benefits, and stock-based compensation granted to employees in research and development functions.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three and nine months ended September 30, 2026 and 2025, the Company had contracts with multiple contract research organizations (“CRO”) to complete studies as part of research grant agreements. These costs include upfront, milestone and monthly expenses as well as reimbursement for pass through costs. All research and development costs are expensed as incurred except when the Company is accounting for refundable advance payments for goods or services to be used in future research and development activities. In these cases, these payments are capitalized at the time of payment and expensed in the period the research and development activity is performed. As actual costs become known, the Company will adjust the accrual; such changes in estimate may result in material changes in the Company’s clinical study accrual, which could also materially affect reported results of operations. For the three and nine months ended September 30, 2026 and 2025, there were no material adjustments to the Company’s prior period estimates of accrued expenses for clinical trials.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records property, plant, and equipment at cost less depreciation and amortization. Depreciation is calculated using straight-line methods over the estimated useful lives. Repairs and maintenance expenses are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reviews the recoverability of long-lived assets, including the related useful lives, whenever events or changes in circumstances indicate that the carrying amount of a long-lived asset may not be recoverable. If necessary,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long-lived assets are recoverable, and no impairment was deemed necessary, during the three and nine months ended September 30, 2026 and 2025.</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FASB ASC Topic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prescribes accounting and reporting standards for all share-based payment transactions in which employee and non-employee services are acquired. The Company recognizes compensation cost relating to stock-based payment transactions using a fair-value measurement method, which requires all stock-based payments to employees, directors, and non-employee consultants, including grants of stock options, to be recognized in operating results as compensation expense based on fair value over the requisite service period of the awards. The Company determines the fair value of common stock based on the closing market price on the date of the grant.</w:t>
      </w:r>
    </w:p>
    <w:p>
      <w:pPr>
        <w:spacing w:after="0" w:line="7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determining the fair value of stock-based awards, the Company utilizes the Black-Scholes option-pricing model, which uses both historical and current market data to estimate fair value. The Black-Scholes option-pricing model incorporates various assumptions, such as the value of the underlying common stock, the risk-free interest rate, expected volatility, expected dividend yield, and expected life of the options. For awards with performance-based vesting criteria, the Company estimates the probability of achievement of the performance criteria and recognizes compensation expense related to those awards expected to vest. No awards may have a term in excess of ten years. Forfeitures are recorded when they occur. Stock-based compensation expense is classified in the condensed consolidated statements of operations based on the function to which the related services are provided. The Company recognizes stock-based compensation expense over the vesting period.</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The expected term of the stock options was estimated using the “simplified” method, as defined by the SEC’s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The volatility assumption was determined using a weighted average of the Company’s historical volatility and the historical volatilities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group of industry peer companies over a period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Therefore, the Company has assumed no dividend yield for purposes of estimating the fair value of the options.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Deferred income taxes reflect future tax effects of temporary differences between the tax and financial reporting basis of the Company’s assets and liabilities measured using enacted tax laws and statutory tax rates applicable to the periods when the temporary differences will affect taxable income. When necessary, deferred tax assets are reduced by a valuation allowance, to reflect realizable value, and all deferred tax balances are reported as long-term on the condensed consolidated balance sheets. Accruals are maintained for uncertain tax positions, as necessary.</w:t>
      </w:r>
    </w:p>
    <w:p>
      <w:pPr>
        <w:spacing w:after="0" w:line="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uses a recognition threshold and measurement attribute for the financial statement recognition and measurement of a tax position taken, or expected to be taken, in a tax return. The Company has elected to treat interest and penalties related to income taxes, to the extent they arise, as a component of income taxes.</w:t>
      </w:r>
    </w:p>
    <w:p>
      <w:pPr>
        <w:spacing w:after="0" w:line="6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maintains a 100% valuation allowance on its net deferred tax assets. The Company has not recognized any reserves for uncertain tax positions.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 basic net income (loss) per share attributable to common stockholders is computed by dividing net income (loss) attributable to common stockholders by the weighted-average number of common stock outstanding during the period. Diluted net income (loss) per share attributable to common stockholders is computed by dividing the diluted net income (loss) attributable to common stockholders by the weighted-average number of common stock outstanding for the period including potential dilutive common shares such as stock options and convertible preferred stock. See Note 4,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for further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7"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Company’s business activities are organized into one reportable segment, as only the Company’s operating results in their entirety are regularly reviewed by the Company’s chief operating decision maker to make decisions about resources to be allocated and to assess performance.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Australian Research and Development Tax Credit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June 2023, the Company formed a new subsidiary in Australia, SAB Australia, a proprietary limited company, primarily to conduct preclinical and clinical activities for product candidates. SAB Australia's research and development activities qualify for the Australian government's tax credit program, which provides a 48.5% credit for qualifying research and development expenses. The research and development incentive is one of the key elements of the Australian Government's support for Australia's innovation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system and is supported by legislative law primarily in the form of the Australian Income Tax Assessment Act 1997, as long as eligibility criteria are met.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program, a percentage of eligible research and development expenses incurred by the Company through SAB Australia are reimbursed.</w:t>
      </w:r>
    </w:p>
    <w:p>
      <w:pPr>
        <w:spacing w:after="0" w:line="9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recognizes other income from the Australian research and development incentive when there is reasonable assurance that the income will be received, the relevant expenditure has been incurred, and the consideration can be reliably measured. Management has assessed the Company's research and development activities and expenditures to determine which are likely to be eligible under the research and development incentive regime described above. At each period end, management estimates the refundable tax offset available to the Company based on available information at the time, which is included in other income in the condensed consolidated statements of operations and comprehensive income (loss). The Company recognized $0.1 million and $0.4 million in tax credit income for the three and nine months ended September 30, 2026, respectively, and $0.4 million and $1.2 million, in tax credit income for the three and nine months ended September 30, 2025,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New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(Topic 220)”. ASU 2024-03 requires additional disclosure in the notes to financial statements of specified information about certain expenses such as purchases of inventory, employee compensation, depreciation, intangible asset amortization, and other expenses which are presented on the face of the income statement within continuing operations. This ASU is effective for annual periods beginning after December 15, 2026, and interim periods within annual periods beginning after December 15, 2027, with early adoption permitted. The Company is currently evaluating the impact of adopting this ASU on its condensed consolidated financial statements and disclosures.</w:t>
      </w:r>
    </w:p>
    <w:p>
      <w:pPr>
        <w:spacing w:after="0" w:line="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w:t>
      </w:r>
      <w:r>
        <w:rPr>
          <w:rFonts w:ascii="Times New Roman" w:cs="Times New Roman" w:eastAsia="Times New Roman" w:hAnsi="Times New Roman"/>
          <w:sz w:val="18"/>
          <w:szCs w:val="18"/>
          <w:i w:val="1"/>
          <w:iCs w:val="1"/>
          <w:color w:val="auto"/>
        </w:rPr>
        <w:t>ASU 2025-06</w:t>
      </w:r>
      <w:r>
        <w:rPr>
          <w:rFonts w:ascii="Times New Roman" w:cs="Times New Roman" w:eastAsia="Times New Roman" w:hAnsi="Times New Roman"/>
          <w:sz w:val="18"/>
          <w:szCs w:val="18"/>
          <w:color w:val="auto"/>
        </w:rPr>
        <w:t>, Targeted Improvements to the Accounting for Internal-Use Software (”</w:t>
      </w:r>
      <w:r>
        <w:rPr>
          <w:rFonts w:ascii="Times New Roman" w:cs="Times New Roman" w:eastAsia="Times New Roman" w:hAnsi="Times New Roman"/>
          <w:sz w:val="18"/>
          <w:szCs w:val="18"/>
          <w:i w:val="1"/>
          <w:iCs w:val="1"/>
          <w:color w:val="auto"/>
        </w:rPr>
        <w:t>ASU 2025-06”)</w:t>
      </w:r>
      <w:r>
        <w:rPr>
          <w:rFonts w:ascii="Times New Roman" w:cs="Times New Roman" w:eastAsia="Times New Roman" w:hAnsi="Times New Roman"/>
          <w:sz w:val="18"/>
          <w:szCs w:val="18"/>
          <w:color w:val="auto"/>
        </w:rPr>
        <w:t xml:space="preserve"> and is effective January 1, 2028 with early adoption permitted. </w:t>
      </w:r>
      <w:r>
        <w:rPr>
          <w:rFonts w:ascii="Times New Roman" w:cs="Times New Roman" w:eastAsia="Times New Roman" w:hAnsi="Times New Roman"/>
          <w:sz w:val="18"/>
          <w:szCs w:val="18"/>
          <w:i w:val="1"/>
          <w:iCs w:val="1"/>
          <w:color w:val="auto"/>
        </w:rPr>
        <w:t>ASU 2025-06</w:t>
      </w:r>
      <w:r>
        <w:rPr>
          <w:rFonts w:ascii="Times New Roman" w:cs="Times New Roman" w:eastAsia="Times New Roman" w:hAnsi="Times New Roman"/>
          <w:sz w:val="18"/>
          <w:szCs w:val="18"/>
          <w:color w:val="auto"/>
        </w:rPr>
        <w:t xml:space="preserve"> modernizes the accounting for internal use software costs and requires entities to start capitalizing eligible costs when (1) management has authorized and committed to funding the software project, and (2) it is probable that the project will be completed and the software will be used to perform the function intended. The guidance can be applied on a prospective basis, a modified basis for in-process projects, or a retrospective basis. The Company is still assessing the impact of adopting this standard.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Earnings per share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Since the Company reported a net loss for the three and nine months ended September 30, 2026, it was required by ASC 260 to use basic weighted-average shares outstanding when calculating diluted net loss per share for the three and nine months ended September 30, 2026, as the potential dilutive securities are anti-dilutive. For the three and nine months ended September 30, 2025, the Company reported net income, which resulted primarily from a non-cash gain on the change in fair value of the Enrollment Date Warrants and Release Date Warrants prior to their reclassification to stockholders’ equity on September 26, 2025. For those periods, undistributed earnings were allocated to participating securities under the two-class method, and diluted net loss per share reflects the assumed conversion of the Series B Preferred Stock and the assumed exercise of the Enrollment Date Warrants and, for the three months ended September 30, 2025, the Release Date Warrants.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regardless of whether the Company is in a net income or net loss position, the Company evaluates whether gains on the change in fair value of its liability-classified warrants, which consist of the Preferred Tranche C Warrants, Public Warrants, and Private Placement Warrants, are dilutive. A warrant is dilutive if the average market price of the Company's common stock for the period exceeds the warrant's exercise price, in which case the numerator would be adjusted to remove the gain and the incremental shares would be included in the denominator under the treasury stock method. For the three and nine months ended September 30, 2026, the exercise prices of these warrants exceeded the average market price of the Company's common stock, and as a result, the warrants would not have resulted in incremental shares under the treasury stock method. Accordingly, no adjustment was made to the numerator or denominator for these warrants, and they are included in the potentially dilutive securities excluded from the computation of diluted net loss per share below.</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4" w:name="page15"/>
    <w:bookmarkEnd w:id="14"/>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numerator and denominator used to calculate basic earnings per share and diluted earnings per share for the three and nine months ended September 30, 2026 and 2025 (in thousands, except share and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91"/>
        </w:trPr>
        <w:tc>
          <w:tcPr>
            <w:tcW w:w="48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Calculation of basic (loss) income per share attributable to the</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34"/>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Company’s shareholders</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(22,300)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45,445</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(63,660)</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30,134</w:t>
            </w:r>
          </w:p>
        </w:tc>
        <w:tc>
          <w:tcPr>
            <w:tcW w:w="120" w:type="dxa"/>
            <w:vAlign w:val="bottom"/>
          </w:tcPr>
          <w:p>
            <w:pPr>
              <w:spacing w:after="0"/>
              <w:rPr>
                <w:sz w:val="18"/>
                <w:szCs w:val="18"/>
                <w:color w:val="auto"/>
              </w:rPr>
            </w:pPr>
          </w:p>
        </w:tc>
      </w:tr>
      <w:tr>
        <w:trPr>
          <w:trHeight w:val="216"/>
        </w:trPr>
        <w:tc>
          <w:tcPr>
            <w:tcW w:w="48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income attributable to participating securities</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(22,300)</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(63,660)</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120" w:type="dxa"/>
            <w:vAlign w:val="bottom"/>
          </w:tcPr>
          <w:p>
            <w:pPr>
              <w:spacing w:after="0"/>
              <w:rPr>
                <w:sz w:val="18"/>
                <w:szCs w:val="18"/>
                <w:color w:val="auto"/>
              </w:rPr>
            </w:pPr>
          </w:p>
        </w:tc>
      </w:tr>
      <w:tr>
        <w:trPr>
          <w:trHeight w:val="216"/>
        </w:trPr>
        <w:tc>
          <w:tcPr>
            <w:tcW w:w="48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93,237,708</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10,660,500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75,695,490</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9,750,531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(0.84)</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20" w:type="dxa"/>
            <w:vAlign w:val="bottom"/>
          </w:tcPr>
          <w:p>
            <w:pPr>
              <w:spacing w:after="0"/>
              <w:rPr>
                <w:sz w:val="18"/>
                <w:szCs w:val="18"/>
                <w:color w:val="auto"/>
              </w:rPr>
            </w:pPr>
          </w:p>
        </w:tc>
      </w:tr>
      <w:tr>
        <w:trPr>
          <w:trHeight w:val="198"/>
        </w:trPr>
        <w:tc>
          <w:tcPr>
            <w:tcW w:w="48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Calculation of diluted (loss) income per share attributable to the</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Company’s shareholders</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(22,300)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45,445</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(63,660)</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30,134</w:t>
            </w:r>
          </w:p>
        </w:tc>
        <w:tc>
          <w:tcPr>
            <w:tcW w:w="120" w:type="dxa"/>
            <w:vAlign w:val="bottom"/>
          </w:tcPr>
          <w:p>
            <w:pPr>
              <w:spacing w:after="0"/>
              <w:rPr>
                <w:sz w:val="18"/>
                <w:szCs w:val="18"/>
                <w:color w:val="auto"/>
              </w:rPr>
            </w:pPr>
          </w:p>
        </w:tc>
      </w:tr>
      <w:tr>
        <w:trPr>
          <w:trHeight w:val="216"/>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(62,000)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(40,137)</w:t>
            </w:r>
          </w:p>
        </w:tc>
      </w:tr>
      <w:tr>
        <w:trPr>
          <w:trHeight w:val="20"/>
        </w:trPr>
        <w:tc>
          <w:tcPr>
            <w:tcW w:w="4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income attributable to common stockholders - diluted</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(22,300)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(16,555)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(63,660)</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(10,003)</w:t>
            </w:r>
          </w:p>
        </w:tc>
      </w:tr>
      <w:tr>
        <w:trPr>
          <w:trHeight w:val="216"/>
        </w:trPr>
        <w:tc>
          <w:tcPr>
            <w:tcW w:w="4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93,237,708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10,660,500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75,695,490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9,750,531</w:t>
            </w:r>
          </w:p>
        </w:tc>
        <w:tc>
          <w:tcPr>
            <w:tcW w:w="120" w:type="dxa"/>
            <w:vAlign w:val="bottom"/>
          </w:tcPr>
          <w:p>
            <w:pPr>
              <w:spacing w:after="0"/>
              <w:rPr>
                <w:sz w:val="18"/>
                <w:szCs w:val="18"/>
                <w:color w:val="auto"/>
              </w:rPr>
            </w:pPr>
          </w:p>
        </w:tc>
      </w:tr>
      <w:tr>
        <w:trPr>
          <w:trHeight w:val="216"/>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Series B warrants and preferred stock</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67,202,763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20,552,359</w:t>
            </w:r>
          </w:p>
        </w:tc>
        <w:tc>
          <w:tcPr>
            <w:tcW w:w="120" w:type="dxa"/>
            <w:vAlign w:val="bottom"/>
            <w:shd w:val="clear" w:color="auto" w:fill="CFF0FC"/>
          </w:tcPr>
          <w:p>
            <w:pPr>
              <w:spacing w:after="0"/>
              <w:rPr>
                <w:sz w:val="18"/>
                <w:szCs w:val="18"/>
                <w:color w:val="auto"/>
              </w:rPr>
            </w:pPr>
          </w:p>
        </w:tc>
      </w:tr>
      <w:tr>
        <w:trPr>
          <w:trHeight w:val="210"/>
        </w:trPr>
        <w:tc>
          <w:tcPr>
            <w:tcW w:w="482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93,237,708</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77,863,263</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75,695,490</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30,302,890</w:t>
            </w:r>
          </w:p>
        </w:tc>
        <w:tc>
          <w:tcPr>
            <w:tcW w:w="120" w:type="dxa"/>
            <w:vAlign w:val="bottom"/>
            <w:tcBorders>
              <w:top w:val="single" w:sz="8" w:color="CFF0FC"/>
            </w:tcBorders>
          </w:tcPr>
          <w:p>
            <w:pPr>
              <w:spacing w:after="0"/>
              <w:rPr>
                <w:sz w:val="18"/>
                <w:szCs w:val="18"/>
                <w:color w:val="auto"/>
              </w:rPr>
            </w:pPr>
          </w:p>
        </w:tc>
      </w:tr>
      <w:tr>
        <w:trPr>
          <w:trHeight w:val="209"/>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(loss) income per share - diluted</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(0.24)</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(0.84)</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-1824990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-1824990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-1824990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-1824990</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-1542415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-1542415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-1542415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-1542415</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-848360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-848360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-848360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-848360</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-290830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-290830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-290830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-290830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Included within weighted average common shares outstanding for the three and nine months ended September 30, 2026, are 2,753,246 and 1,973,834 weighted-average shares, respectively, issuable upon the exercise of the 2,753,246 pre-funded warrants issued in March 2026, as the warrants are exercisable at any time for nominal consideration, and, as such, the shares are considered outstanding for the purpose of calculating basic and diluted net loss per share attributable to common stockholders. No pre-funded warrants were outstanding during 2025.</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other potentially dilutive securities for the three and nine months ended September 30, 2026, which include stock options, restricted stock awards, common stock warrants, common stock underlying preferred stock warrants, earnout shares, and contingently issuable earnout shares have been excluded from the computation of diluted net income (loss) per share as the effect would be to reduce the net loss per share. Therefore, the weighted average number of common shares outstanding used to calculate both basic and diluted net loss per share attributable to common stockholders is the same.</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2025, adjustments were made to the numerator for changes in fair value that would not have occurred assuming the exercise of in-the-money warrants to purchase Series B Preferred Stock, which were classified as liabilities until September 26, 2025. The numerator was adjusted by $62.0 million and $40.1 million for the three and nine months ended September 30, 2025, respectively, under the treasury stock method, and the denominator was adjusted for the assumed exercise of these warrants and the conversion of all outstanding shares of Series B Preferred Stock under the if-converted method.</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excluded the following potential common shares, presented based on amounts outstanding at each period end, from the computation of diluted net income (loss) per share attributable to common stockholders for the periods indicated because including them would have had an anti-dilutive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35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1620" w:type="dxa"/>
            <w:vAlign w:val="bottom"/>
            <w:tcBorders>
              <w:top w:val="single" w:sz="8" w:color="auto"/>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and awards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40,489,704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6,767,988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 (1)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2,203,407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2,233,407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Preferred Stock (2)</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4,504,824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4,617,681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Warrants (3)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17,002,381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17,002,381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Enrollment Date Warrants (4)</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90,496,700</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Release Date Warrants (4)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49,650,000</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6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Contingently issuable Earnout Shares from unexercised Rollover</w:t>
            </w:r>
          </w:p>
        </w:tc>
        <w:tc>
          <w:tcPr>
            <w:tcW w:w="1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150,806</w:t>
            </w:r>
          </w:p>
        </w:tc>
        <w:tc>
          <w:tcPr>
            <w:tcW w:w="220" w:type="dxa"/>
            <w:vAlign w:val="bottom"/>
            <w:vMerge w:val="restart"/>
            <w:shd w:val="clear" w:color="auto" w:fill="CFF0FC"/>
          </w:tcPr>
          <w:p>
            <w:pPr>
              <w:spacing w:after="0"/>
              <w:rPr>
                <w:sz w:val="17"/>
                <w:szCs w:val="17"/>
                <w:color w:val="auto"/>
              </w:rPr>
            </w:pPr>
          </w:p>
        </w:tc>
        <w:tc>
          <w:tcPr>
            <w:tcW w:w="1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62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vMerge w:val="continue"/>
            <w:shd w:val="clear" w:color="auto" w:fill="CFF0FC"/>
          </w:tcPr>
          <w:p>
            <w:pPr>
              <w:spacing w:after="0"/>
              <w:rPr>
                <w:sz w:val="19"/>
                <w:szCs w:val="19"/>
                <w:color w:val="auto"/>
              </w:rPr>
            </w:pPr>
          </w:p>
        </w:tc>
        <w:tc>
          <w:tcPr>
            <w:tcW w:w="16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204,497,822</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30,772,263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680" w:type="dxa"/>
            <w:vAlign w:val="bottom"/>
          </w:tcPr>
          <w:p>
            <w:pPr>
              <w:spacing w:after="0"/>
              <w:rPr>
                <w:sz w:val="24"/>
                <w:szCs w:val="24"/>
                <w:color w:val="auto"/>
              </w:rPr>
            </w:pPr>
          </w:p>
        </w:tc>
        <w:tc>
          <w:tcPr>
            <w:tcW w:w="35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1620" w:type="dxa"/>
            <w:vAlign w:val="bottom"/>
            <w:tcBorders>
              <w:top w:val="single" w:sz="8" w:color="auto"/>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and awards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40,489,704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6,767,988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 (1)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2,203,407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2,233,407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Preferred Stock (2)</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4,504,824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4,617,681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Warrants (3)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17,002,381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17,002,381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Enrollment Date Warrants (4)</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90,496,700</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Release Date Warrants (4)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49,650,000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Contingently issuable Earnout Shares from unexercised Rollover</w:t>
            </w:r>
          </w:p>
        </w:tc>
        <w:tc>
          <w:tcPr>
            <w:tcW w:w="1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150,806</w:t>
            </w:r>
          </w:p>
        </w:tc>
        <w:tc>
          <w:tcPr>
            <w:tcW w:w="220" w:type="dxa"/>
            <w:vAlign w:val="bottom"/>
            <w:vMerge w:val="restart"/>
            <w:shd w:val="clear" w:color="auto" w:fill="CFF0FC"/>
          </w:tcPr>
          <w:p>
            <w:pPr>
              <w:spacing w:after="0"/>
              <w:rPr>
                <w:sz w:val="17"/>
                <w:szCs w:val="17"/>
                <w:color w:val="auto"/>
              </w:rPr>
            </w:pPr>
          </w:p>
        </w:tc>
        <w:tc>
          <w:tcPr>
            <w:tcW w:w="1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62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vMerge w:val="continue"/>
            <w:shd w:val="clear" w:color="auto" w:fill="CFF0FC"/>
          </w:tcPr>
          <w:p>
            <w:pPr>
              <w:spacing w:after="0"/>
              <w:rPr>
                <w:sz w:val="19"/>
                <w:szCs w:val="19"/>
                <w:color w:val="auto"/>
              </w:rPr>
            </w:pPr>
          </w:p>
        </w:tc>
        <w:tc>
          <w:tcPr>
            <w:tcW w:w="16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204,497,822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80,772,263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-1945005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right="60" w:hanging="503"/>
        <w:spacing w:after="0" w:line="25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Contained within common stock warrants are the 575,000 shares of common stock underlying public warrants (the “Public Warrants”), 20,860 shares of common stock underlying warrants held by assignees of Big Cypress Holdings, LLC (the “Private Placement Warrants”), 736,337 shares underlying warrants issued to the investors in the December 2022 Private Placement (the “PIPE Warrants”), 21,091 shares underlying warrants issued to the placement agent in the December 2022 Private Placement (the “PIPE Placement Agent Warrants”), and 850,119 shares underlying the Preferred PIPE Placement Agent Warrants issued to the placement agent in the September 2023 Offering. The 2025 amount also included 30,000 shares underlying the Ladenburg Warrants, which expired unexercised in March 2026. The Public Warrants and Private Placement Warrants expired on October 22, 2026. See Note 10,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xml:space="preserve"> for further details on the Company’s outstanding warrants.</w:t>
      </w:r>
    </w:p>
    <w:p>
      <w:pPr>
        <w:spacing w:after="0" w:line="83"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4,504,824 and 4,617,681 shares of common stock underlying 28,380 and 29,091 issued and outstanding shares of Series A-2 Preferred Stock, at September 30, 2026 and 2025, respectively. See Note 8,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for further details on the Company’s preferred stock.</w:t>
      </w:r>
    </w:p>
    <w:p>
      <w:pPr>
        <w:spacing w:after="0" w:line="6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17,002,381 shares of common stock underlying 107,115 outstanding Preferred Tranche C Warrants (as defined below) at September 30, 2026 and 2025. See Note 10,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xml:space="preserve"> for further details on the Company’s outstanding warrants.</w:t>
      </w:r>
    </w:p>
    <w:p>
      <w:pPr>
        <w:spacing w:after="0" w:line="53" w:lineRule="exact"/>
        <w:rPr>
          <w:rFonts w:ascii="Times New Roman" w:cs="Times New Roman" w:eastAsia="Times New Roman" w:hAnsi="Times New Roman"/>
          <w:sz w:val="18"/>
          <w:szCs w:val="18"/>
          <w:color w:val="auto"/>
        </w:rPr>
      </w:pPr>
    </w:p>
    <w:p>
      <w:pPr>
        <w:ind w:left="1020" w:right="160" w:hanging="503"/>
        <w:spacing w:after="0" w:line="312"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49,650,000 and 90,496,700 shares of common stock underlying the Release Date Warrants and Enrollment Date Warrants, respectively, at September 30, 2026, and 50,000,000 shares of common stock underlying the Release Date Warrants at September 30, 2025.</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and December 31, 2025, the Company’s property, plant and equipment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23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Animal facility leasehold improvements</w:t>
            </w:r>
          </w:p>
        </w:tc>
        <w:tc>
          <w:tcPr>
            <w:tcW w:w="2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Animal facility equipment</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2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Vehicles</w:t>
            </w:r>
          </w:p>
        </w:tc>
        <w:tc>
          <w:tcPr>
            <w:tcW w:w="2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2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(17,516)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15,652</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was $0.8 million and $2.3 million for the three and nine months ended September 30, 2026, respectively, and $0.7 million and $2.3 million for the three and nine months ended September 30, 2025, respectively. In June 2026, the Company purchased unimproved land and began construction of a second farm facility in South Dakota to increase manufacturing capacity and establish a redundant herd to support long-term commercial supply for SAB-142.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has an operating lease for lab space from Sanford Health, that started in June 2014 and initially ended in June 2019, at which time the lease was extended through August 2024. This lease was renewed in January 2025 and amended in April 2026 to reduce the leased space, and has a five-year term ending on December 31, 2029.</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entered into a lease for office, laboratory, and warehouse space in November 2020, as amended in July 2022, and renewed in November 2023. This renewed lease has a 3-year term, with options to extend for 3 additional periods of 3 years each. The options were not included in the right of use calculation as of September 30, 2026, because it was not reasonably certain that the Company would exercise them. In October 2026, the Company exercised its option to extend this lease for an additional three-year term through November 2029.</w:t>
      </w:r>
    </w:p>
    <w:p>
      <w:pPr>
        <w:spacing w:after="0" w:line="7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entered into a lease for office space in Miami Beach, Florida in April 2024. In September 2025, the Company terminated this lease and entered into a new lease for expanded space. The new lease commenced in January 2026 with a five-year term.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December 2018, the Company entered into a finance lease with Dakota Ag Properties for a new animal facility which includes the surrounding land. The facility and the land have been accounted for as separate lease components. The lease is based upon payback of $4.0 million in construction costs, with a 20-year term at an interest rate of 8%. The Company has the option to purchase the asset at any time during the term of the lease for the balance of the unamortized lease payments.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agreements do not require material variable lease payments, residual value guarantees or restrictive covenants.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weighted-average remaining lease term and weighted-average discount rate for operating and finance leases as of September 30,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20" w:type="dxa"/>
            <w:vAlign w:val="bottom"/>
            <w:gridSpan w:val="4"/>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600" w:type="dxa"/>
            <w:vAlign w:val="bottom"/>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48"/>
        </w:trPr>
        <w:tc>
          <w:tcPr>
            <w:tcW w:w="4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144"/>
              <w:spacing w:after="0" w:line="148"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236"/>
              <w:spacing w:after="0" w:line="148" w:lineRule="exact"/>
              <w:rPr>
                <w:sz w:val="20"/>
                <w:szCs w:val="20"/>
                <w:color w:val="auto"/>
              </w:rPr>
            </w:pPr>
            <w:r>
              <w:rPr>
                <w:rFonts w:ascii="Times New Roman" w:cs="Times New Roman" w:eastAsia="Times New Roman" w:hAnsi="Times New Roman"/>
                <w:sz w:val="14"/>
                <w:szCs w:val="14"/>
                <w:b w:val="1"/>
                <w:bCs w:val="1"/>
                <w:color w:val="auto"/>
              </w:rPr>
              <w:t>Finance</w:t>
            </w:r>
          </w:p>
        </w:tc>
        <w:tc>
          <w:tcPr>
            <w:tcW w:w="280" w:type="dxa"/>
            <w:vAlign w:val="bottom"/>
          </w:tcPr>
          <w:p>
            <w:pPr>
              <w:spacing w:after="0"/>
              <w:rPr>
                <w:sz w:val="12"/>
                <w:szCs w:val="12"/>
                <w:color w:val="auto"/>
              </w:rPr>
            </w:pPr>
          </w:p>
        </w:tc>
        <w:tc>
          <w:tcPr>
            <w:tcW w:w="1040" w:type="dxa"/>
            <w:vAlign w:val="bottom"/>
            <w:tcBorders>
              <w:top w:val="single" w:sz="8" w:color="auto"/>
              <w:bottom w:val="single" w:sz="8" w:color="auto"/>
            </w:tcBorders>
          </w:tcPr>
          <w:p>
            <w:pPr>
              <w:ind w:left="200"/>
              <w:spacing w:after="0" w:line="148"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216"/>
              <w:spacing w:after="0" w:line="148" w:lineRule="exact"/>
              <w:rPr>
                <w:sz w:val="20"/>
                <w:szCs w:val="20"/>
                <w:color w:val="auto"/>
              </w:rPr>
            </w:pPr>
            <w:r>
              <w:rPr>
                <w:rFonts w:ascii="Times New Roman" w:cs="Times New Roman" w:eastAsia="Times New Roman" w:hAnsi="Times New Roman"/>
                <w:sz w:val="14"/>
                <w:szCs w:val="14"/>
                <w:b w:val="1"/>
                <w:bCs w:val="1"/>
                <w:color w:val="auto"/>
              </w:rPr>
              <w:t>Finance</w:t>
            </w:r>
          </w:p>
        </w:tc>
        <w:tc>
          <w:tcPr>
            <w:tcW w:w="180" w:type="dxa"/>
            <w:vAlign w:val="bottom"/>
          </w:tcPr>
          <w:p>
            <w:pPr>
              <w:spacing w:after="0"/>
              <w:rPr>
                <w:sz w:val="12"/>
                <w:szCs w:val="12"/>
                <w:color w:val="auto"/>
              </w:rPr>
            </w:pP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5"/>
              </w:rPr>
              <w:t>3.62</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80" w:type="dxa"/>
            <w:vAlign w:val="bottom"/>
            <w:shd w:val="clear" w:color="auto" w:fill="CFF0FC"/>
          </w:tcPr>
          <w:p>
            <w:pPr>
              <w:spacing w:after="0"/>
              <w:rPr>
                <w:sz w:val="18"/>
                <w:szCs w:val="18"/>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(percentage)</w:t>
            </w:r>
          </w:p>
        </w:tc>
        <w:tc>
          <w:tcPr>
            <w:tcW w:w="2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15.32%</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7.72%</w:t>
            </w:r>
          </w:p>
        </w:tc>
        <w:tc>
          <w:tcPr>
            <w:tcW w:w="13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9.45%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7.72%</w:t>
            </w:r>
          </w:p>
        </w:tc>
      </w:tr>
      <w:tr>
        <w:trPr>
          <w:trHeight w:val="630"/>
        </w:trPr>
        <w:tc>
          <w:tcPr>
            <w:tcW w:w="4480" w:type="dxa"/>
            <w:vAlign w:val="bottom"/>
          </w:tcPr>
          <w:p>
            <w:pPr>
              <w:spacing w:after="0"/>
              <w:rPr>
                <w:sz w:val="24"/>
                <w:szCs w:val="24"/>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44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 w:name="page18"/>
    <w:bookmarkEnd w:id="17"/>
    <w:p>
      <w:pPr>
        <w:ind w:right="36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future minimum lease payments under non-cancelable leases with terms of more than one year to the total lease liabilities recognized on the condensed consolidated balance sheets as of September 30, 2026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Borders>
              <w:bottom w:val="single" w:sz="8" w:color="auto"/>
            </w:tcBorders>
            <w:gridSpan w:val="3"/>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 remaining</w:t>
            </w:r>
          </w:p>
        </w:tc>
        <w:tc>
          <w:tcPr>
            <w:tcW w:w="1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center"/>
              <w:ind w:right="19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Undiscounted future minimum lease payments</w:t>
            </w:r>
          </w:p>
        </w:tc>
        <w:tc>
          <w:tcPr>
            <w:tcW w:w="1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 payments</w:t>
            </w: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1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center"/>
              <w:ind w:right="45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three and nine months ended September 30, 2026 and 2025 (in thousands):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580" w:type="dxa"/>
            <w:vAlign w:val="bottom"/>
          </w:tcPr>
          <w:p>
            <w:pPr>
              <w:spacing w:after="0"/>
              <w:rPr>
                <w:sz w:val="20"/>
                <w:szCs w:val="20"/>
                <w:color w:val="auto"/>
              </w:rPr>
            </w:pPr>
          </w:p>
        </w:tc>
        <w:tc>
          <w:tcPr>
            <w:tcW w:w="3800" w:type="dxa"/>
            <w:vAlign w:val="bottom"/>
            <w:gridSpan w:val="7"/>
          </w:tcPr>
          <w:p>
            <w:pPr>
              <w:ind w:left="12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60" w:type="dxa"/>
            <w:vAlign w:val="bottom"/>
          </w:tcPr>
          <w:p>
            <w:pPr>
              <w:spacing w:after="0"/>
              <w:rPr>
                <w:sz w:val="20"/>
                <w:szCs w:val="20"/>
                <w:color w:val="auto"/>
              </w:rPr>
            </w:pPr>
          </w:p>
        </w:tc>
        <w:tc>
          <w:tcPr>
            <w:tcW w:w="2600" w:type="dxa"/>
            <w:vAlign w:val="bottom"/>
            <w:gridSpan w:val="8"/>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09"/>
        </w:trPr>
        <w:tc>
          <w:tcPr>
            <w:tcW w:w="4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5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80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204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920" w:type="dxa"/>
            <w:vAlign w:val="bottom"/>
            <w:gridSpan w:val="2"/>
            <w:shd w:val="clear" w:color="auto" w:fill="CFF0FC"/>
          </w:tcPr>
          <w:p>
            <w:pPr>
              <w:jc w:val="right"/>
              <w:ind w:right="50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 cash payments</w:t>
            </w: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lease cost - right-of-use asset amortization</w:t>
            </w:r>
          </w:p>
        </w:tc>
        <w:tc>
          <w:tcPr>
            <w:tcW w:w="1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cost - interest expense</w:t>
            </w: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lease - cash payments</w:t>
            </w:r>
          </w:p>
        </w:tc>
        <w:tc>
          <w:tcPr>
            <w:tcW w:w="1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-1285240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-1268095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and December 31, 2025, accrued expenses and other current liabilities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employee-related costs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and Outstanding Capital Stock</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total number of shares of the Company’s authorized capital stock is 810,000,000. The total amount of authorized capital stock consists of 800,000,000 shares of common stock and 10,000,000 shares of preferred stock. As of September 30, 2026, 91,138,023 shares of common stock, 28,380 shares of Series A Preferred Stock, and 522,629 shares of Series B Preferred Stock were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 and Warrants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September 29, 2023, the Company entered into a securities purchase agreement (the “September 2023 Purchase Agreement”) with certain accredited investors, in a private placement (the “September 2023 Offering”), pursuant to which the Company issued and sold 7,500 shares of Series A-1 Convertible Preferred Stock and Preferred Tranche A, B and C Warrants (collectively, the “Preferred Warrants”). During the fourth quarter of 2023, holders exercised Preferred Tranche A Warrants for an aggregate of 59,654 shares of Series A-1 Preferred Stock, for gross proceeds of $59.7 million, bringing the total of Series A-1 Preferred Stock issued under the September 2023 Offering and related exercises to 67,154 shares. All unexercised Preferred Tranche A and Preferred Tranche B</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100"/>
        <w:spacing w:after="0" w:line="282" w:lineRule="auto"/>
        <w:rPr>
          <w:sz w:val="20"/>
          <w:szCs w:val="20"/>
          <w:color w:val="auto"/>
        </w:rPr>
      </w:pPr>
      <w:r>
        <w:rPr>
          <w:rFonts w:ascii="Times New Roman" w:cs="Times New Roman" w:eastAsia="Times New Roman" w:hAnsi="Times New Roman"/>
          <w:sz w:val="18"/>
          <w:szCs w:val="18"/>
          <w:color w:val="auto"/>
        </w:rPr>
        <w:t>Warrants were subsequently forfeited and the Preferred Tranche C Warrants remain outstanding and exercisable until the five (5) year anniversary of their exercisability date.</w:t>
      </w:r>
    </w:p>
    <w:p>
      <w:pPr>
        <w:spacing w:after="0" w:line="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Following receipt of required stockholder approval, 24,918 shares of Series A-1 Preferred Stock were automatically converted into an aggregate of 3,954,674 shares of common stock at a conversion price of $6.30 per share and the remaining 42,236 shares of Series A-1 Preferred Stock were converted into an equal number of shares of Series A-2 Preferred Stock, which are convertible into common stock at the same conversion price of $6.30 per share. Holders of Series A Preferred Stock are entitled to receive dividends on an as-converted-to-common-stock basis and to vote together with holders of common stock, subject to a beneficial ownership blocker of either 4.99% or 9.99%, as elected by each holder.</w:t>
      </w:r>
    </w:p>
    <w:p>
      <w:pPr>
        <w:spacing w:after="0" w:line="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were no Series A-2 Preferred Stock conversions during the nine months ended September 30, 2026, and 13,639 shares of Series A-2 Preferred Stock were converted into 2,164,918 shares of common stock during the year ended December 31,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regarding the Company’s outstanding warrants, refer to Note 10,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Convertible Preferred Stock and Warrants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21, 2025, the Company entered into a securities purchase agreement with certain accredited investors (the “July 2025 Purchase Agreement”), in connection with a private placement (the “Series B Offering”) of 1,000,000 shares of Series B Convertible Preferred Stock (the “Series B Preferred Stock,” and such shares, the “Series B Shares”), initially convertible into 100,000,000 shares of common stock (the “Conversion Shares”), together with Release Date Warrants to purchase up to 500,000 shares of Series B Preferred Stock with an exercise price of $218.75 per share, and Enrollment Date Warrants to purchase up to 1,000,000 shares of Series B Preferred Stock with an exercise price of $175.00 per share. The closing of the Series B Offering occurred on July 22, 2025 and generated gross proceeds of $175.0 million and net proceeds of $163.9 million after $11.1 million of offering costs. The Enrollment Date Warrants and Release Date Warrants were initially classified as liabilities at fair value because the underlying preferred shares were redeemable under certain conditions, with the remaining proceeds allocated to the Series B Preferred Stock.</w:t>
      </w:r>
    </w:p>
    <w:p>
      <w:pPr>
        <w:spacing w:after="0" w:line="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the Company’s special meeting of stockholders held on September 26, 2025 (the “2025 Special Meeting”), stockholders approved the issuance of the common stock underlying the Series B Preferred Stock (the “Requisite Approval”), after which 361,442 shares of Series B Preferred Stock converted into 36,144,200 shares of common stock, subject to a 4.99% beneficial ownership limitation. Upon receiving the requisite approval on September 26, 2025, the Series B Preferred Stock was no longer redeemable, and the Release Date Warrants and Enrollment Date Warrants were reclassified from liabilities to stockholders’ equity. Following the requisite approval on September 26, 2025, the change in fair value of $62.0 million was recorded as other income.</w:t>
      </w:r>
    </w:p>
    <w:p>
      <w:pPr>
        <w:spacing w:after="0" w:line="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There were 95,033 Enrollment Date Warrants and 3,500 Release Date Warrants exercised for net proceeds of $15.6 million and $0.7 million, respectively, during the nine months ended September 30, 2026. There were no Enrollment Date Warrants or Release Date Warrants exercised during the year ended December 31,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regarding the Company’s outstanding warrants, refer to Note 10,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2026 Public Offering</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March 17, 2026, the Company entered into an underwriting agreement (the “March 2026 Public Offering”), pursuant to which the Company issued and sold 19,324,677 shares of common stock (the “Firm Shares”), at a public offering price of $3.85 per share, and pre-funded warrants to purchase up to 2,753,246 shares of common stock (the “Pre-Funded Warrants”), at a public offering price of $3.8499 per Pre-Funded Warrant (the Firm Shares price less the $0.0001 per share exercise price of each Pre-Funded Warrant). The sale of the Firm Shares and Pre-Funded Warrants closed on March 19, 2026, resulting in gross proceeds of approximately $85.0 million and net proceeds of approximately $79.3 million, after deducting underwriting discounts and commissions and offering expenses payable by the Company. The Company also granted the underwriters a 30-day option to purchase up to an additional 3,311,688 shares of common stock at the public offering price, less underwriting discounts and commissions (the “Optional Shares”). As of March 31, 2026, the underwriters partially exercised their option and purchased an additional 2,000,000 shares of common stock at the public offering price of $3.85 per share, less underwriting discounts and commissions, resulting in additional net proceeds of $7.2 million. In April 2026, the underwriters partially exercised their option and purchased an additional 610,188 shares of common stock at the public offering price of $3.85 per share, less underwriting discounts and commissions, resulting in additional net proceeds of $2.2 million. The remaining Optional Shares of 701,500 expired without exercise in April 2026.</w:t>
      </w:r>
    </w:p>
    <w:p>
      <w:pPr>
        <w:spacing w:after="0" w:line="8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received aggregate net proceeds from the offering, including the partial exercise of the underwriters’ option, of approximately $88.7 million, after deducting underwriting discounts and commissions and offering expenses payable by the Company. Issuance costs were allocated between the common stock and the pre-funded warrants on a relative fair value basis and charged to additional paid-in capital.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regarding the Company’s outstanding warrants, refer to Note 10, </w:t>
      </w:r>
      <w:r>
        <w:rPr>
          <w:rFonts w:ascii="Times New Roman" w:cs="Times New Roman" w:eastAsia="Times New Roman" w:hAnsi="Times New Roman"/>
          <w:sz w:val="18"/>
          <w:szCs w:val="18"/>
          <w:i w:val="1"/>
          <w:iCs w:val="1"/>
          <w:color w:val="auto"/>
        </w:rPr>
        <w:t>Warrants.</w:t>
      </w: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October 22, 2021 (the “Closing Date”), the Company consummated the business combination (the “Business Combination”) contemplated by the agreement and plan of merger, dated as of June 21, 2021, as amended on August 12, 2021, among Big Cypress Acquisition Corp., a Delaware corporation (“BCYP”), Big Cypress Merger Sub Inc. (“Merger Sub”), the Company, and Shareholder Representative Services LLC (the “Business Combination Agreement”). Upon closing of the Business Combination, Merger Sub merged with SAB Biotherapeutics, with SAB Biotherapeutics as the surviving company of the merger. Upon closing of the Business Combination, BCYP changed its name to “SAB Biotherapeutics, Inc.”</w:t>
      </w:r>
    </w:p>
    <w:p>
      <w:pPr>
        <w:spacing w:after="0" w:line="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Business Combination Agreement included an earnout provision under which SAB Biotherapeutics’ pre-closing securityholders (including vested option holders) had the contingent right to receive up to an aggregate of 1,200,000 additional shares (the “Earnout Shares”), released in four equal 25% increments if, at any time during the five years following the Closing Date, the volume weighted average price (“VWAP”) of the Company’s common stock equaled or exceeded, $150.00, $200.00, $250.00, and $300.00, respectively, for any 20 trading days within a period of 30 consecutive trading days (or upon a qualifying change in control at a per share price exceeding the applicable threshold). Of the 1,200,000 Earnout Shares, 150,806 were contingently issuable and 1,049,194 were legally issued and outstanding as of September 30, 2026, subject to return to the Company if the applicable VWAP thresholds were not met within the five-year period. The five-year earnout period ended on October 22, 2026 without any of the VWAP thresholds or a qualifying change in control having been achieved. As a result, the 150,806 contingently issuable Earnout Shares were not issued, and the 1,049,194 Earnout Shares held in escrow were released to the Company as treasury shares. The forfeiture had no impact on the Company’s condensed consolidated statement of operations and comprehensive income (loss).</w:t>
      </w:r>
    </w:p>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Earnout Shares are indexed to the Company’s equity and meet the criteria for equity classification. On the Closing Date, the fair value of the 1,200,000 Earnout Shares was $101.3 million, recorded as a stock dividend reducing additional paid-in capital, offset by the increase in additional paid-in capital associated with the Business Combination.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December 29, 2025, the Company filed a Registration Statement on Form S-3 (Registration No. 333-292482) (the “Shelf Registration Statement”), declared effective on January 7, 2026 by the SEC, which includes a base prospectus that allows the Company to offer and sell, from time to time, in one or more offerings, common stock, preferred stock, debt securities, warrants, rights or units up to an aggregate public offering price of $300.0 million. The Shelf Registration Statement is intended to preserve the Company’s flexibility to raise capital from time to time, if and when needed.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 Option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Equity Incentive Plan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2014, the Company approved a stock option grant plan (the “2014 Equity Incentive Plan”) for employees, directors, and non-employee consultants, which provides for the issuance of options to purchase common stock. The Company no longer grants new awards under the 2014 Equity Incentive Plan, and outstanding awards remain subject to its terms, which are described in the Company’s Annual Report on Form 10-K for the year ended December 31, 2025. As of September 30, 2026, there were 535,204 shares available for grant and 193,446 shares underlying outstanding grants.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2021, the Company approved the 2021 Omnibus Equity Incentive Plan (as amended, the “2021 Equity Incentive Plan”). The 2021 Equity Incentive Plan provides for grants of stock options, restricted stock units and other stock-based awards to employees, directors, and non-employee consultants. The 2021 Equity Incentive Plan includes an annual evergreen provision that increases the shares reserved for issuance at the beginning of each calendar year, subject to a cap, and has been amended to increase the shares available for grant, most recently by stockholder approval at the 2024 Annual Meeting and the 2025 Special Meeting. The terms of the 2021 Equity Incentive Plan and these amendments are described in the Company’s Annual Report on Form 10-K for the year ended December 31, 2025. As of September 30, 2026, 47,592,575 shares of common stock were reserved for issuance under the 2021 Equity Incentive Plan, with 7,296,317 shares available for grant and 40,296,258 shares underlying outstanding grants.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offers an Employee Stock Purchase Plan (“ESPP”) that allows eligible employees to purchase shares of common stock at a discount of up to 15% from the lower of the fair market value at the beginning or end of the offering period. Under ASC 718, the ESPP is classified as compensatory, and stock-based compensation expense is recognized for the fair value of the discount and 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ind w:right="360"/>
        <w:spacing w:after="0" w:line="282" w:lineRule="auto"/>
        <w:rPr>
          <w:sz w:val="20"/>
          <w:szCs w:val="20"/>
          <w:color w:val="auto"/>
        </w:rPr>
      </w:pPr>
      <w:r>
        <w:rPr>
          <w:rFonts w:ascii="Times New Roman" w:cs="Times New Roman" w:eastAsia="Times New Roman" w:hAnsi="Times New Roman"/>
          <w:sz w:val="18"/>
          <w:szCs w:val="18"/>
          <w:color w:val="auto"/>
        </w:rPr>
        <w:t>embedded option features. No shares were issued under the ESPP during the three and nine months ended September 30, 2026 and 2025, and no stock-based compensation expense was recognized. As of September 30, 2026, 100,000 shares remained available for future issuance.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Stock option activity for employees and non-employees under the Equity Compensation Plans for the nine months ended September 30, 2026, was as follows (in thousands, except share and per share amounts):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62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gridSpan w:val="2"/>
          </w:tcPr>
          <w:p>
            <w:pPr>
              <w:jc w:val="center"/>
              <w:ind w:left="95"/>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(periods)</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options, December 31,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20,887,772</w:t>
            </w:r>
          </w:p>
        </w:tc>
        <w:tc>
          <w:tcPr>
            <w:tcW w:w="2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20,264,700</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(584,797)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(64,083)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Expired</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(17,867)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options, September 30, 2026</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40,485,725</w:t>
            </w: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3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40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16,301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exercisable, September 30, 2026</w:t>
            </w: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6,240,545</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3.91</w:t>
            </w:r>
          </w:p>
        </w:tc>
        <w:tc>
          <w:tcPr>
            <w:tcW w:w="13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8.37</w:t>
            </w:r>
          </w:p>
        </w:tc>
        <w:tc>
          <w:tcPr>
            <w:tcW w:w="400" w:type="dxa"/>
            <w:vAlign w:val="bottom"/>
            <w:tcBorders>
              <w:bottom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4,553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-334010</wp:posOffset>
            </wp:positionV>
            <wp:extent cx="768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unrecognized compensation cost related to non-vested stock options as of September 30, 2026, was approximately $87.4 million and is expected to be recognized within future operating results over a weighted-average period of 3.09 years.</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three and nine months ended September 30, 2026, was $3.10 and $3.56 per share, respectively. During the three and nine months ended September 30, 2026, 4,571,199 and 4,866,998 options vested with a fair value totaling $8.7 million and $9.7 million, respectively.</w:t>
      </w:r>
    </w:p>
    <w:p>
      <w:pPr>
        <w:spacing w:after="0" w:line="6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three and nine months ended September 30, 2025, was $1.92 and $1.92 per share, respectively. During the three and nine months ended September 30, 2025, 420,825 and 819,701 options vested with a fair value totaling $1.1 million and $2.7 million, respectively.</w:t>
      </w:r>
    </w:p>
    <w:p>
      <w:pPr>
        <w:spacing w:after="0" w:line="68"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estimated fair value of stock options granted to employees and consultants during the three and nine months ended September 30, 2026 and 2025, was calculated using the Black-Scholes option-pricing model using the following assumptions: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3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300" w:type="dxa"/>
            <w:vAlign w:val="bottom"/>
            <w:tcBorders>
              <w:bottom w:val="single" w:sz="8" w:color="auto"/>
            </w:tcBorders>
          </w:tcPr>
          <w:p>
            <w:pPr>
              <w:spacing w:after="0"/>
              <w:rPr>
                <w:sz w:val="15"/>
                <w:szCs w:val="15"/>
                <w:color w:val="auto"/>
              </w:rPr>
            </w:pPr>
          </w:p>
        </w:tc>
      </w:tr>
      <w:tr>
        <w:trPr>
          <w:trHeight w:val="142"/>
        </w:trPr>
        <w:tc>
          <w:tcPr>
            <w:tcW w:w="4480" w:type="dxa"/>
            <w:vAlign w:val="bottom"/>
          </w:tcPr>
          <w:p>
            <w:pPr>
              <w:spacing w:after="0"/>
              <w:rPr>
                <w:sz w:val="12"/>
                <w:szCs w:val="12"/>
                <w:color w:val="auto"/>
              </w:rPr>
            </w:pPr>
          </w:p>
        </w:tc>
        <w:tc>
          <w:tcPr>
            <w:tcW w:w="128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2"/>
                <w:szCs w:val="12"/>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124.2 - 124.4  %</w:t>
            </w:r>
          </w:p>
        </w:tc>
        <w:tc>
          <w:tcPr>
            <w:tcW w:w="170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90.7 - 102.0  %</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118.6</w:t>
            </w:r>
          </w:p>
        </w:tc>
        <w:tc>
          <w:tcPr>
            <w:tcW w:w="10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- 124.4   %</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124.4</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124.4</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periods)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340" w:type="dxa"/>
            <w:vAlign w:val="bottom"/>
          </w:tcPr>
          <w:p>
            <w:pPr>
              <w:spacing w:after="0"/>
              <w:rPr>
                <w:sz w:val="18"/>
                <w:szCs w:val="18"/>
                <w:color w:val="auto"/>
              </w:rPr>
            </w:pP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6.08</w:t>
            </w:r>
          </w:p>
        </w:tc>
        <w:tc>
          <w:tcPr>
            <w:tcW w:w="3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6.00 - 6.08</w:t>
            </w: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5.73</w:t>
            </w:r>
          </w:p>
        </w:tc>
        <w:tc>
          <w:tcPr>
            <w:tcW w:w="7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w w:val="99"/>
              </w:rPr>
              <w:t>- 6.08</w:t>
            </w:r>
          </w:p>
        </w:tc>
        <w:tc>
          <w:tcPr>
            <w:tcW w:w="300" w:type="dxa"/>
            <w:vAlign w:val="bottom"/>
          </w:tcPr>
          <w:p>
            <w:pPr>
              <w:spacing w:after="0"/>
              <w:rPr>
                <w:sz w:val="18"/>
                <w:szCs w:val="18"/>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3.87 - 3.94</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3.81 - 4.42</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c>
          <w:tcPr>
            <w:tcW w:w="74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w w:val="99"/>
              </w:rPr>
              <w:t>- 3.97</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Stock award activity for employees and non-employees under the Equity Compensation Plans for the nine months ended September 30, 2026, was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62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14,639</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(10,660)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September 30, 2026</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380" w:type="dxa"/>
            <w:vAlign w:val="bottom"/>
            <w:tcBorders>
              <w:top w:val="single" w:sz="8" w:color="CFF0FC"/>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At September 30, 2026, the unrecognized equity-based compensation related to restricted stock units (“RSUs”) outstanding was de minimis. During the nine months ended September 30, 2026, a total of 10,660 RSUs vested and issued. The unrecognized expense for restricted stock units is expected to be recognized within future operating results over a weighted average period of 0.42 years.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for the three and nine months ended September 30, 2026 and 2025, was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02"/>
        </w:trPr>
        <w:tc>
          <w:tcPr>
            <w:tcW w:w="3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09"/>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40" w:type="dxa"/>
            <w:vAlign w:val="bottom"/>
            <w:gridSpan w:val="2"/>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56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10,493</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8"/>
                <w:szCs w:val="18"/>
                <w:color w:val="auto"/>
              </w:rPr>
            </w:pPr>
          </w:p>
        </w:tc>
      </w:tr>
      <w:tr>
        <w:trPr>
          <w:trHeight w:val="209"/>
        </w:trPr>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60" w:type="dxa"/>
            <w:vAlign w:val="bottom"/>
            <w:tcBorders>
              <w:bottom w:val="single" w:sz="8" w:color="CFF0FC"/>
            </w:tcBorders>
            <w:gridSpan w:val="2"/>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20,144</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-8255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2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Public Warrants were issued on October 22, 2021. Each whole Public Warrant entitled the holder to purchase one share of the Company's common stock at a price of $115.00 per share, subject to adjustment. The Company could redeem the Public Warrants in whole and not in part, at $0.01 per Public Warrant, upon not less than 30 days’ prior written notice of redemption, if the last sale price of the common stock equaled or exceeded $180.00 per share for any 20 trading days within a 30-trading-day period, in which case the Company could require holders to exercise on a cashless basis. The Public Warrants remained outstanding as of September 30, 2026 and expired unexercised on October 22, 2026 (the fifth anniversary of the Business Combination). The Public Warrants have no further value and are no longer exercisable.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Private Placement Warrants were issued on October 22, 2021, were exercisable on a cashless basis and were non-redeemable as long as they were held by the initial purchasers or their permitted transferees. If the Private Placement Warrants were transferred to other holders, they became redeemable by the Company and exercisable by such holders on the same basis as the Public Warrants. The Private Placement Warrants remained outstanding as of September 30, 2026 and expired unexercised on October 22, 2026 (the fifth anniversary of the Business Combination). The Private Placement Warrants have no further value and are no longer exercisable.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2023 Purchase Agreement Warrants</w:t>
      </w:r>
    </w:p>
    <w:p>
      <w:pPr>
        <w:spacing w:after="0" w:line="2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Preferred Tranche C Warrants were issued in connection with the Company’s September 2023 Purchase Agreement of Series A-1 Convertible Preferred Stock, in which the Company also issued Preferred Tranche A Warrants, Preferred Tranche B Warrants and Preferred Tranche C Warrants. The Preferred Tranche A Warrants were exercised or forfeited and the associated Preferred Tranche B Warrants were forfeited in 2023, leaving the Preferred Tranche C Warrants as the only tranche outstanding as of September 30, 2026. The Preferred Tranche C Warrants expire on November 23, 2028, unless exercised or redeemed. Once expired, the Preferred Tranche C Warrants will have no further value and will no longer be exercisable.</w:t>
      </w:r>
    </w:p>
    <w:p>
      <w:pPr>
        <w:spacing w:after="0" w:line="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had 107,115 Preferred Tranche C Warrants outstanding to purchase shares of Series A-3 Preferred Stock having an aggregate exercise price of approximately $107.1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Warrants and PIPE Placement Agent Warrants</w:t>
      </w:r>
    </w:p>
    <w:p>
      <w:pPr>
        <w:spacing w:after="0" w:line="2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December 2022, the Company completed a private placement (the “December 2022 Private Placement”) in which it sold 736,337 shares of common stock and the PIPE Warrants exercisable for up to 736,337 shares of common stock. The combined purchase price of each share and accompanying PIPE Warrant was $10.80, except three participating directors of the Company each paid at a $1.25 premium per share and accompanying PIPE Warrant. Each PIPE Warrant has an exercise price of $10.80 per share and is exercisable for five years from the date of issuance.</w:t>
      </w:r>
    </w:p>
    <w:p>
      <w:pPr>
        <w:spacing w:after="0" w:line="7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December 2022 Private Placement, the Company issued Brookline Capital Markets the PIPE Placement Agent Warrants to purchase up to 21,091 shares of common stock. The PIPE Placement Agent Warrants have an exercise price equal to $13.50 per share and expire five years from the date of issuance.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2023 Ladenburg Agreement Warrants</w:t>
      </w:r>
    </w:p>
    <w:p>
      <w:pPr>
        <w:spacing w:after="0" w:line="22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On March 21, 2023, the Company entered into a settlement agreement with Ladenburg Thalmann &amp; Co. Inc. (“Ladenburg”) pursuant to which the Company issued warrants to purchase up to 30,000 shares of common stock (the “Ladenburg Warrants”), exercisable for three years from the date of issuance at $5.424 per share. The Ladenburg Warrants expired unexercised as of March 31,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PIPE Placement Agent Warrant</w:t>
      </w:r>
    </w:p>
    <w:p>
      <w:pPr>
        <w:spacing w:after="0" w:line="22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On November 21, 2023, the Company issued to Chardan Capital Markets LLC, the placement agent for the September 2023 Offering, a warrant to purchase 850,119 shares of the Company’s common stock (the “Preferred PIPE Placement Agent Warrants”). The Preferred PIPE Placement Agent Warrants have an exercise price equal to $6.30 per share (subject to adjustment for stock dividends and splits) and are exercisable in whole or in part, at any time or times on or after the issuance date and on or before October 2, 2028.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PIPE Series B Warrants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July 21, 2025, the Company issued the Release Date Warrants and Enrollment Date Warrants to various investors as part of the Series B Offering providing for the purchase of up to 500,000 and 1,000,000 shares, respectively, of Series B Preferred Stock at exercise prices of $218.75 and $175.00 per share, respectively. The Release Date Warrants have an expiration of the earlier of five years from the issuance date or the Phase II Release Date (as defined in the Release Date Warrant). The Enrollment Date Warrants have an expiration date of the earlier of five years from the issuance date or the Phase II Enrollment Date (as defined in the Enrollment Date Warrant).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Pre-Funded Warrants</w:t>
      </w:r>
    </w:p>
    <w:p>
      <w:pPr>
        <w:spacing w:after="0" w:line="186" w:lineRule="exact"/>
        <w:rPr>
          <w:sz w:val="20"/>
          <w:szCs w:val="20"/>
          <w:color w:val="auto"/>
        </w:rPr>
      </w:pPr>
    </w:p>
    <w:p>
      <w:pPr>
        <w:ind w:right="460"/>
        <w:spacing w:after="0" w:line="245" w:lineRule="exact"/>
        <w:rPr>
          <w:sz w:val="20"/>
          <w:szCs w:val="20"/>
          <w:color w:val="auto"/>
        </w:rPr>
      </w:pPr>
      <w:r>
        <w:rPr>
          <w:rFonts w:ascii="Times New Roman" w:cs="Times New Roman" w:eastAsia="Times New Roman" w:hAnsi="Times New Roman"/>
          <w:sz w:val="18"/>
          <w:szCs w:val="18"/>
          <w:color w:val="auto"/>
        </w:rPr>
        <w:t>In March 2026, the Company issued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to purchase up to 2,753,246 shares of common stock at a public offering price of $3.8499 per warrant, which represents the public offering price of $3.85 per share of common stock less the $0.0001 exercise price per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warrant activity for the nine months ended September 30, 2026 and the year ended December 31,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3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 Issued</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Forfeited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Equity Classified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PIPE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736,337</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736,337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PIPE Placement Agent Warrants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Ladenburg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(30,000)</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PIPE Placement Agent Warrants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850,119</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Pre-Funded Warrants</w:t>
            </w: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2,753,246</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2,753,246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Liability Classified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Business Combination Public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Warrants</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Equity Classified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Preferred PIPE Series B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(98,533)</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1,401,467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Liability Classified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Preferred Tranche C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107,115</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380" w:type="dxa"/>
            <w:vAlign w:val="bottom"/>
          </w:tcPr>
          <w:p>
            <w:pPr>
              <w:spacing w:after="0"/>
              <w:rPr>
                <w:sz w:val="24"/>
                <w:szCs w:val="2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20" w:type="dxa"/>
            <w:vAlign w:val="bottom"/>
          </w:tcPr>
          <w:p>
            <w:pPr>
              <w:spacing w:after="0"/>
              <w:rPr>
                <w:sz w:val="13"/>
                <w:szCs w:val="13"/>
                <w:color w:val="auto"/>
              </w:rPr>
            </w:pPr>
          </w:p>
        </w:tc>
        <w:tc>
          <w:tcPr>
            <w:tcW w:w="13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 Issued</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220" w:type="dxa"/>
            <w:vAlign w:val="bottom"/>
          </w:tcPr>
          <w:p>
            <w:pPr>
              <w:spacing w:after="0"/>
              <w:rPr>
                <w:sz w:val="15"/>
                <w:szCs w:val="15"/>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Forfeited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Equity Classified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PIPE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736,337</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736,337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PIPE Placement Agent Warrants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Ladenburg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PIPE Placement Agent Warrants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850,119</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i w:val="1"/>
                <w:iCs w:val="1"/>
                <w:color w:val="auto"/>
              </w:rPr>
              <w:t>Liability Classified</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Business Combination Public Warrants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Warrants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i w:val="1"/>
                <w:iCs w:val="1"/>
                <w:color w:val="auto"/>
              </w:rPr>
              <w:t>Equity Classified</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PIPE Series B Warrants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20" w:type="dxa"/>
            <w:vAlign w:val="bottom"/>
          </w:tcPr>
          <w:p>
            <w:pPr>
              <w:spacing w:after="0"/>
              <w:rPr>
                <w:sz w:val="18"/>
                <w:szCs w:val="18"/>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i w:val="1"/>
                <w:iCs w:val="1"/>
                <w:color w:val="auto"/>
              </w:rPr>
              <w:t>Liability Classified</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Tranche B Warrants (1)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42,846</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(42,846)</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Preferred Tranche C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107,115</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20" w:right="36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2025, 42,846 Preferred Tranche B Warrants expired, unexercised. The valuation as of December 31, 2024, was based on a risk-free interest rate of 3.93%, an expected remaining term of 0.23 periods, implied volatility of 75%, and an underlying stock price of $309.37.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Presentation and Valuation of the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 and Private Placement Warrants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Public Warrants and Private Placement Warrants are accounted for as liabilities in accordance with ASC 815-40,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Own Equity </w:t>
      </w:r>
      <w:r>
        <w:rPr>
          <w:rFonts w:ascii="Times New Roman" w:cs="Times New Roman" w:eastAsia="Times New Roman" w:hAnsi="Times New Roman"/>
          <w:sz w:val="18"/>
          <w:szCs w:val="18"/>
          <w:color w:val="auto"/>
        </w:rPr>
        <w:t>and were presented within warrant liabilities on the condensed consolidated balance sheets as of September 30, 2026 and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2025. Changes in fair value are recognized within changes in fair value of warrant liabilities in the condensed consolidated statements of operations and comprehensive income (loss) for the three and nine months ended September 30, 2026 and 2025.</w:t>
      </w:r>
    </w:p>
    <w:p>
      <w:pPr>
        <w:spacing w:after="0" w:line="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established the fair value of the Private Placement Warrants utilizing both the Black-Scholes Merton formula and a Monte Carlo Simulation (the “MCS”) analysis. Specifically, the Company considered an MCS to derive the implied volatility in the publicly-listed price of the Public Warrants. The Company then considered this implied volatility in selecting the volatility for the application of a Black-Scholes Merton model for the Private Placement Warrants. The Company determined the fair value of the Public Warrants by reference to the quoted market price.</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The Public Warrants were classified as a Level 1 fair value measurement, due to the use of the quoted market price, and the Private Placement Warrants held privately by assignees of Big Cypress Holdings LLC, were classified as a Level 3 fair value measurement, due to the use of unobservable inputs. See Note 11,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changes in fair value of the Private Placement Warrants.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inputs into the valuations as of September 30, 2026 and December 31, 2025,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400" w:type="dxa"/>
            <w:vAlign w:val="bottom"/>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80" w:type="dxa"/>
            <w:vAlign w:val="bottom"/>
          </w:tcPr>
          <w:p>
            <w:pPr>
              <w:spacing w:after="0"/>
              <w:rPr>
                <w:sz w:val="15"/>
                <w:szCs w:val="15"/>
                <w:color w:val="auto"/>
              </w:rPr>
            </w:pPr>
          </w:p>
        </w:tc>
        <w:tc>
          <w:tcPr>
            <w:tcW w:w="14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r>
      <w:tr>
        <w:trPr>
          <w:trHeight w:val="20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remaining (periods)</w:t>
            </w:r>
          </w:p>
        </w:tc>
        <w:tc>
          <w:tcPr>
            <w:tcW w:w="1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80" w:type="dxa"/>
            <w:vAlign w:val="bottom"/>
          </w:tcPr>
          <w:p>
            <w:pPr>
              <w:spacing w:after="0"/>
              <w:rPr>
                <w:sz w:val="18"/>
                <w:szCs w:val="18"/>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Implied volatility</w:t>
            </w:r>
          </w:p>
        </w:tc>
        <w:tc>
          <w:tcPr>
            <w:tcW w:w="14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684.4%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200.4%</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Closing common stock price on the measurement date</w:t>
            </w:r>
          </w:p>
        </w:tc>
        <w:tc>
          <w:tcPr>
            <w:tcW w:w="1400" w:type="dxa"/>
            <w:vAlign w:val="bottom"/>
          </w:tcPr>
          <w:p>
            <w:pPr>
              <w:jc w:val="right"/>
              <w:ind w:right="124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6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80" w:type="dxa"/>
            <w:vAlign w:val="bottom"/>
          </w:tcPr>
          <w:p>
            <w:pPr>
              <w:spacing w:after="0"/>
              <w:rPr>
                <w:sz w:val="20"/>
                <w:szCs w:val="20"/>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Series A Preferred Warrants are accounted for as liabilities in accordance with ASC 480 and 815-40,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Contracts in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Own Equity </w:t>
      </w:r>
      <w:r>
        <w:rPr>
          <w:rFonts w:ascii="Times New Roman" w:cs="Times New Roman" w:eastAsia="Times New Roman" w:hAnsi="Times New Roman"/>
          <w:sz w:val="18"/>
          <w:szCs w:val="18"/>
          <w:color w:val="auto"/>
        </w:rPr>
        <w:t>and are presented within warrant liabilities on the condensed consolidated balance sheets as of September 30, 2026 and 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Derivative-liability classification is required because, upon a fundamental transaction,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24" w:name="page25"/>
    <w:bookmarkEnd w:id="24"/>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would be obligated to repurchase all outstanding Series A Preferred Warrants for cash equal to the Black-Scholes value of the unexercised portion of each warrant. Changes in fair value are recognized within changes in fair value of warrant liabilities in the condensed consolidated statements of operations and comprehensive income (loss) for the three and nine months ended September 30, 2026 and 2025.</w:t>
      </w:r>
    </w:p>
    <w:p>
      <w:pPr>
        <w:spacing w:after="0" w:line="66"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color w:val="auto"/>
        </w:rPr>
        <w:t xml:space="preserve">The Series A Preferred Warrants were classified as Level 3 fair value measurements, due to the use of unobservable inputs. See Note 11,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w:t>
      </w:r>
      <w:r>
        <w:rPr>
          <w:rFonts w:ascii="Times New Roman" w:cs="Times New Roman" w:eastAsia="Times New Roman" w:hAnsi="Times New Roman"/>
          <w:sz w:val="18"/>
          <w:szCs w:val="18"/>
          <w:color w:val="auto"/>
        </w:rPr>
        <w:t>for changes in fair value of the Preferred Warrants.</w:t>
      </w:r>
    </w:p>
    <w:p>
      <w:pPr>
        <w:spacing w:after="0" w:line="5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key inputs utilized in determining the fair value of each Preferred Tranche C Warrant as of September 30, 2026 and December 31, 2025,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Risk-free interest rate (1)</w:t>
            </w: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9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remaining (periods) (1)</w:t>
            </w:r>
          </w:p>
        </w:tc>
        <w:tc>
          <w:tcPr>
            <w:tcW w:w="2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Implied volatility</w:t>
            </w:r>
          </w:p>
        </w:tc>
        <w:tc>
          <w:tcPr>
            <w:tcW w:w="280" w:type="dxa"/>
            <w:vAlign w:val="bottom"/>
          </w:tcPr>
          <w:p>
            <w:pPr>
              <w:spacing w:after="0"/>
              <w:rPr>
                <w:sz w:val="18"/>
                <w:szCs w:val="18"/>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Underlying Stock Price (Preferred Series A)</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258.47</w:t>
            </w:r>
          </w:p>
        </w:tc>
        <w:tc>
          <w:tcPr>
            <w:tcW w:w="2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20" w:right="300" w:hanging="503"/>
        <w:spacing w:after="0" w:line="261"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probability-weighted input derived from multiple Black-Scholes calculations. These calculations incorporate the Company’s estimated probability of survival, assuming SABS’ intellectual property yields positive results in forthcoming clinical trials, allowing the Company to continue as a going concern rather than face dissolution before 2028. The probability of survival was 70.0% and 40.0% as of September 30, 2026 and December 31, 2025, respectively.</w:t>
      </w:r>
    </w:p>
    <w:p>
      <w:pPr>
        <w:spacing w:after="0" w:line="17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at September 30, 2026 and December 31, 2025, and indicate the fair value hierarchy of the valuation inputs the Company utilized to determine such fair value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jc w:val="center"/>
              <w:ind w:right="159"/>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center"/>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Long-term investments</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Public Warrant liability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Private Placement Warrant liability</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Tranche C Preferred Warrants</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jc w:val="center"/>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center"/>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jc w:val="center"/>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8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5080" w:type="dxa"/>
            <w:vAlign w:val="bottom"/>
            <w:vMerge w:val="continue"/>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equivalents</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Short-term investments</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Mutual funds</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59,130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24,027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Long-term investments</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42,784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Public Warrant liability</w:t>
            </w: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Private Placement Warrant liability</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Tranche C Preferred Warrants</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changes in Level 3 fair value measurements for the Private Placement Warrant liability: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3380" w:type="dxa"/>
            <w:vAlign w:val="bottom"/>
            <w:gridSpan w:val="2"/>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Private Placement Warrant liability</w:t>
            </w: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49"/>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2026</w:t>
            </w:r>
          </w:p>
        </w:tc>
        <w:tc>
          <w:tcPr>
            <w:tcW w:w="2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Change in fair value of Private Placement Warrant liability</w:t>
            </w:r>
          </w:p>
        </w:tc>
        <w:tc>
          <w:tcPr>
            <w:tcW w:w="2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49"/>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June 30, 2026</w:t>
            </w:r>
          </w:p>
        </w:tc>
        <w:tc>
          <w:tcPr>
            <w:tcW w:w="2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Change in fair value of Private Placement Warrant liability</w:t>
            </w:r>
          </w:p>
        </w:tc>
        <w:tc>
          <w:tcPr>
            <w:tcW w:w="2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September 30, 2026</w:t>
            </w:r>
          </w:p>
        </w:tc>
        <w:tc>
          <w:tcPr>
            <w:tcW w:w="22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changes in Level 3 fair value measurements for the Preferred Warrant liabilities: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338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10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the Preferred Warrant liabilities</w:t>
            </w:r>
          </w:p>
        </w:tc>
        <w:tc>
          <w:tcPr>
            <w:tcW w:w="23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8"/>
                <w:szCs w:val="18"/>
                <w:color w:val="auto"/>
              </w:rPr>
            </w:pPr>
          </w:p>
        </w:tc>
      </w:tr>
      <w:tr>
        <w:trPr>
          <w:trHeight w:val="25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2026</w:t>
            </w:r>
          </w:p>
        </w:tc>
        <w:tc>
          <w:tcPr>
            <w:tcW w:w="338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shd w:val="clear" w:color="auto" w:fill="CFF0FC"/>
          </w:tcPr>
          <w:p>
            <w:pPr>
              <w:spacing w:after="0"/>
              <w:rPr>
                <w:sz w:val="21"/>
                <w:szCs w:val="21"/>
                <w:color w:val="auto"/>
              </w:rPr>
            </w:pPr>
          </w:p>
        </w:tc>
      </w:tr>
      <w:tr>
        <w:trPr>
          <w:trHeight w:val="197"/>
        </w:trPr>
        <w:tc>
          <w:tcPr>
            <w:tcW w:w="63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Change in fair value of the Preferred Warrant liabilities</w:t>
            </w:r>
          </w:p>
        </w:tc>
        <w:tc>
          <w:tcPr>
            <w:tcW w:w="2380" w:type="dxa"/>
            <w:vAlign w:val="bottom"/>
            <w:tcBorders>
              <w:top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1,190</w:t>
            </w:r>
          </w:p>
        </w:tc>
        <w:tc>
          <w:tcPr>
            <w:tcW w:w="100" w:type="dxa"/>
            <w:vAlign w:val="bottom"/>
            <w:tcBorders>
              <w:top w:val="single" w:sz="8" w:color="CFF0FC"/>
            </w:tcBorders>
          </w:tcPr>
          <w:p>
            <w:pPr>
              <w:spacing w:after="0"/>
              <w:rPr>
                <w:sz w:val="17"/>
                <w:szCs w:val="17"/>
                <w:color w:val="auto"/>
              </w:rPr>
            </w:pPr>
          </w:p>
        </w:tc>
      </w:tr>
      <w:tr>
        <w:trPr>
          <w:trHeight w:val="249"/>
        </w:trPr>
        <w:tc>
          <w:tcPr>
            <w:tcW w:w="6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June 30, 2026</w:t>
            </w:r>
          </w:p>
        </w:tc>
        <w:tc>
          <w:tcPr>
            <w:tcW w:w="23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Change in fair value of the Preferred Warrant liabilities</w:t>
            </w:r>
          </w:p>
        </w:tc>
        <w:tc>
          <w:tcPr>
            <w:tcW w:w="2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(1,659)</w:t>
            </w:r>
          </w:p>
        </w:tc>
      </w:tr>
      <w:tr>
        <w:trPr>
          <w:trHeight w:val="250"/>
        </w:trPr>
        <w:tc>
          <w:tcPr>
            <w:tcW w:w="6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September 30, 2026</w:t>
            </w:r>
          </w:p>
        </w:tc>
        <w:tc>
          <w:tcPr>
            <w:tcW w:w="23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Company did not have any other assets or liabilities that are recorded at fair value on a recurring basis.</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believes that the carrying amounts of its cash and cash equivalents, accrued interest receivable, accounts payable, accrued expenses and other current liabilities approximate their fair values due to their near-term maturities.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(12) 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Debt Securities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September 30, 2026, the fair value and amortized cost of the Company’s available-for-sale debt securities, summarized by type of security, consisted of the following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w:t>
            </w: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74,479</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74,237</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103,540</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(2,250)</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101,290</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At December 31, 2025, the fair value and amortized cost of the Company’s available-for-sale debt securities, summarized by type of security, consisted of the following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w:t>
            </w: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23,994</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24,027</w:t>
            </w:r>
          </w:p>
        </w:tc>
        <w:tc>
          <w:tcPr>
            <w:tcW w:w="100" w:type="dxa"/>
            <w:vAlign w:val="bottom"/>
          </w:tcPr>
          <w:p>
            <w:pPr>
              <w:spacing w:after="0"/>
              <w:rPr>
                <w:sz w:val="18"/>
                <w:szCs w:val="18"/>
                <w:color w:val="auto"/>
              </w:rPr>
            </w:pPr>
          </w:p>
        </w:tc>
      </w:tr>
      <w:tr>
        <w:trPr>
          <w:trHeight w:val="216"/>
        </w:trPr>
        <w:tc>
          <w:tcPr>
            <w:tcW w:w="50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26,960</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42,652</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42,784</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46,750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46,893</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-839470</wp:posOffset>
            </wp:positionV>
            <wp:extent cx="7747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-839470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-839470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fair value by maturity or next repricing date of investment securities at September 30, 2026 are shown in the following table. Fixed rate securities are classified according to their contractual maturities without consideration of principal amortization, potential prepayments or call options. Accordingly, actual maturities may differ from contractual maturities.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gridSpan w:val="4"/>
          </w:tcPr>
          <w:p>
            <w:pPr>
              <w:jc w:val="right"/>
              <w:ind w:right="1215"/>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40" w:type="dxa"/>
            <w:vAlign w:val="bottom"/>
            <w:vMerge w:val="continue"/>
          </w:tcPr>
          <w:p>
            <w:pPr>
              <w:spacing w:after="0"/>
              <w:rPr>
                <w:sz w:val="17"/>
                <w:szCs w:val="17"/>
                <w:color w:val="auto"/>
              </w:rPr>
            </w:pPr>
          </w:p>
        </w:tc>
        <w:tc>
          <w:tcPr>
            <w:tcW w:w="2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Within one year or less</w:t>
            </w:r>
          </w:p>
        </w:tc>
        <w:tc>
          <w:tcPr>
            <w:tcW w:w="2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74,479</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One through five years</w:t>
            </w:r>
          </w:p>
        </w:tc>
        <w:tc>
          <w:tcPr>
            <w:tcW w:w="2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103,540</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178,019</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26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-24765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shows gross unrealized losses and fair values of available-for-sale securities for which an allowance for credit losses has not been recorded, aggregated by investment category and length of time that individual securities have been in a continuous loss position as of September 30, 2026 (in thousands, except for number of securities):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60" w:type="dxa"/>
            <w:vAlign w:val="bottom"/>
          </w:tcPr>
          <w:p>
            <w:pPr>
              <w:spacing w:after="0"/>
              <w:rPr>
                <w:sz w:val="15"/>
                <w:szCs w:val="15"/>
                <w:color w:val="auto"/>
              </w:rPr>
            </w:pPr>
          </w:p>
        </w:tc>
        <w:tc>
          <w:tcPr>
            <w:tcW w:w="3080" w:type="dxa"/>
            <w:vAlign w:val="bottom"/>
            <w:tcBorders>
              <w:bottom w:val="single" w:sz="8" w:color="auto"/>
            </w:tcBorders>
            <w:gridSpan w:val="7"/>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Unrealized losses less than 12 months</w:t>
            </w:r>
          </w:p>
        </w:tc>
        <w:tc>
          <w:tcPr>
            <w:tcW w:w="220" w:type="dxa"/>
            <w:vAlign w:val="bottom"/>
          </w:tcPr>
          <w:p>
            <w:pPr>
              <w:spacing w:after="0"/>
              <w:rPr>
                <w:sz w:val="15"/>
                <w:szCs w:val="15"/>
                <w:color w:val="auto"/>
              </w:rPr>
            </w:pPr>
          </w:p>
        </w:tc>
        <w:tc>
          <w:tcPr>
            <w:tcW w:w="2900" w:type="dxa"/>
            <w:vAlign w:val="bottom"/>
            <w:tcBorders>
              <w:bottom w:val="single" w:sz="8" w:color="auto"/>
            </w:tcBorders>
            <w:gridSpan w:val="6"/>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Unrealized losses 12 months or greater</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6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19"/>
        </w:trPr>
        <w:tc>
          <w:tcPr>
            <w:tcW w:w="136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Available-for-sale</w:t>
            </w:r>
          </w:p>
        </w:tc>
        <w:tc>
          <w:tcPr>
            <w:tcW w:w="8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securities:</w:t>
            </w: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6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U.S. treasury</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34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175,405</w:t>
            </w:r>
          </w:p>
        </w:tc>
        <w:tc>
          <w:tcPr>
            <w:tcW w:w="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2,492</w:t>
            </w:r>
          </w:p>
        </w:tc>
        <w:tc>
          <w:tcPr>
            <w:tcW w:w="220" w:type="dxa"/>
            <w:vAlign w:val="bottom"/>
          </w:tcPr>
          <w:p>
            <w:pPr>
              <w:spacing w:after="0"/>
              <w:rPr>
                <w:sz w:val="10"/>
                <w:szCs w:val="10"/>
                <w:color w:val="auto"/>
              </w:rPr>
            </w:pPr>
          </w:p>
        </w:tc>
        <w:tc>
          <w:tcPr>
            <w:tcW w:w="880" w:type="dxa"/>
            <w:vAlign w:val="bottom"/>
            <w:vMerge w:val="restart"/>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ind w:left="64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38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175,405</w:t>
            </w:r>
          </w:p>
        </w:tc>
        <w:tc>
          <w:tcPr>
            <w:tcW w:w="38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2,492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securities</w:t>
            </w:r>
          </w:p>
        </w:tc>
        <w:tc>
          <w:tcPr>
            <w:tcW w:w="88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6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8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128</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175,405</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2,492</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ind w:left="72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FF0FC"/>
          </w:tcPr>
          <w:p>
            <w:pPr>
              <w:ind w:left="6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top w:val="single" w:sz="8" w:color="CFF0FC"/>
              <w:bottom w:val="single" w:sz="8" w:color="CFF0FC"/>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ind w:right="4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128</w:t>
            </w:r>
          </w:p>
        </w:tc>
        <w:tc>
          <w:tcPr>
            <w:tcW w:w="26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175,405</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2,492</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-24765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-127635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-24765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-127635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-24765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-127635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-24765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-127635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-127635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-127635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-127635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-127635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-127635</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table shows gross unrealized losses and fair values of available-for-sale securities for which an allowance for credit losses has not been recorded, aggregated by investment category and length of time that individual securities have been in a continuous loss position as of December 31, 2025 (in thousands, except for number of securities):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140" w:type="dxa"/>
            <w:vAlign w:val="bottom"/>
            <w:tcBorders>
              <w:bottom w:val="single" w:sz="8" w:color="auto"/>
            </w:tcBorders>
            <w:gridSpan w:val="7"/>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Unrealized losses less than 12 months</w:t>
            </w:r>
          </w:p>
        </w:tc>
        <w:tc>
          <w:tcPr>
            <w:tcW w:w="200" w:type="dxa"/>
            <w:vAlign w:val="bottom"/>
          </w:tcPr>
          <w:p>
            <w:pPr>
              <w:spacing w:after="0"/>
              <w:rPr>
                <w:sz w:val="15"/>
                <w:szCs w:val="15"/>
                <w:color w:val="auto"/>
              </w:rPr>
            </w:pPr>
          </w:p>
        </w:tc>
        <w:tc>
          <w:tcPr>
            <w:tcW w:w="292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Unrealized losses 12 months or greater</w:t>
            </w:r>
          </w:p>
        </w:tc>
        <w:tc>
          <w:tcPr>
            <w:tcW w:w="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2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19"/>
        </w:trPr>
        <w:tc>
          <w:tcPr>
            <w:tcW w:w="11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Available-for-</w:t>
            </w:r>
          </w:p>
        </w:tc>
        <w:tc>
          <w:tcPr>
            <w:tcW w:w="7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sale securities:</w:t>
            </w: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U.S. treasury</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7,802</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tcPr>
          <w:p>
            <w:pPr>
              <w:spacing w:after="0"/>
              <w:rPr>
                <w:sz w:val="10"/>
                <w:szCs w:val="10"/>
                <w:color w:val="auto"/>
              </w:rPr>
            </w:pPr>
          </w:p>
        </w:tc>
        <w:tc>
          <w:tcPr>
            <w:tcW w:w="88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2"/>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7,802</w:t>
            </w:r>
          </w:p>
        </w:tc>
        <w:tc>
          <w:tcPr>
            <w:tcW w:w="3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78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Corporate Bonds</w:t>
            </w:r>
          </w:p>
        </w:tc>
        <w:tc>
          <w:tcPr>
            <w:tcW w:w="7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772</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ind w:left="7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ind w:left="8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772</w:t>
            </w:r>
          </w:p>
        </w:tc>
        <w:tc>
          <w:tcPr>
            <w:tcW w:w="2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3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8,574</w:t>
            </w:r>
          </w:p>
        </w:tc>
        <w:tc>
          <w:tcPr>
            <w:tcW w:w="3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200" w:type="dxa"/>
            <w:vAlign w:val="bottom"/>
          </w:tcPr>
          <w:p>
            <w:pPr>
              <w:spacing w:after="0"/>
              <w:rPr>
                <w:sz w:val="12"/>
                <w:szCs w:val="12"/>
                <w:color w:val="auto"/>
              </w:rPr>
            </w:pPr>
          </w:p>
        </w:tc>
        <w:tc>
          <w:tcPr>
            <w:tcW w:w="880" w:type="dxa"/>
            <w:vAlign w:val="bottom"/>
          </w:tcPr>
          <w:p>
            <w:pPr>
              <w:ind w:left="74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ind w:left="80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2"/>
          </w:tcPr>
          <w:p>
            <w:pPr>
              <w:jc w:val="right"/>
              <w:ind w:right="3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3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8,574</w:t>
            </w:r>
          </w:p>
        </w:tc>
        <w:tc>
          <w:tcPr>
            <w:tcW w:w="38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-128270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-128270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-128270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-128270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-128270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-128270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-128270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-128270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unrealized losses on the Company’s available-for-sale debt securities as of September 30, 2026 and December 31, 2025 were caused by fluctuations in market value and interest rates as a result of the economic environment. The Company concluded that an allowance for credit losses was unnecessary as of September 30, 2026 and December 31, 2025 because the decline in the market value was attributable to changes in market conditions and not credit quality, and that it is neither management’s intention to sell nor is it more likely than not that the Company will be required to sell these investments prior to recovery.</w:t>
      </w:r>
    </w:p>
    <w:p>
      <w:pPr>
        <w:spacing w:after="0" w:line="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Gross realized gains and losses on the sale of short-term and long-term investments are included in other income in the Company’s condensed consolidated statements of operations and comprehensive income (loss). The following table summarizes the Company’s gross realized gains and losses on the sale of available-for-sale debt securities: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15"/>
                <w:szCs w:val="15"/>
                <w:color w:val="auto"/>
              </w:rPr>
            </w:pPr>
          </w:p>
        </w:tc>
        <w:tc>
          <w:tcPr>
            <w:tcW w:w="38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96"/>
        </w:trPr>
        <w:tc>
          <w:tcPr>
            <w:tcW w:w="7060" w:type="dxa"/>
            <w:vAlign w:val="bottom"/>
            <w:vMerge w:val="continue"/>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w:t>
            </w:r>
          </w:p>
        </w:tc>
        <w:tc>
          <w:tcPr>
            <w:tcW w:w="38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Accrued interest receivable related to the above investment securities was $1.5 million and $0.9 million at September 30, 2026 and December 31, 2025, respectively, and is included within accrued interest receivable on the condensed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holds investments in mutual funds that are classified as equity securities, primarily representing diversified portfolios of publicly traded equity instruments managed by third-party investment advisors. As of September 30, 2026 and December 31, 2025, the Company had $15.4 million and $59.1 million, respectively, of equity securities included within short-term investments on the condensed consolidated balance sheets. The following is a summary of unrealized and realized gains (losses) recognized on equity securities included in other income (expense) in the condensed consolidated statements of operations and comprehensive income (loss).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4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w:t>
            </w:r>
          </w:p>
        </w:tc>
        <w:tc>
          <w:tcPr>
            <w:tcW w:w="0" w:type="dxa"/>
            <w:vAlign w:val="bottom"/>
          </w:tcPr>
          <w:p>
            <w:pPr>
              <w:spacing w:after="0"/>
              <w:rPr>
                <w:sz w:val="1"/>
                <w:szCs w:val="1"/>
                <w:color w:val="auto"/>
              </w:rPr>
            </w:pPr>
          </w:p>
        </w:tc>
      </w:tr>
      <w:tr>
        <w:trPr>
          <w:trHeight w:val="104"/>
        </w:trPr>
        <w:tc>
          <w:tcPr>
            <w:tcW w:w="4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6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gridSpan w:val="2"/>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gains (losses) recognized during the period</w:t>
            </w:r>
          </w:p>
        </w:tc>
        <w:tc>
          <w:tcPr>
            <w:tcW w:w="108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240" w:type="dxa"/>
            <w:vAlign w:val="bottom"/>
            <w:gridSpan w:val="2"/>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Realized net gains (losses) recognized on equity securities</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sold</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7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Unrealized net gains (losses) recognized on equity securities</w:t>
            </w:r>
          </w:p>
        </w:tc>
        <w:tc>
          <w:tcPr>
            <w:tcW w:w="120" w:type="dxa"/>
            <w:vAlign w:val="bottom"/>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held</w:t>
            </w:r>
          </w:p>
        </w:tc>
        <w:tc>
          <w:tcPr>
            <w:tcW w:w="108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subject to legal proceedings and claims arising in the ordinary course of business. The Company accrues a liability for such matters when a loss is probable and reasonably estimable. As of September 30, 2026, the Company was not a party to any material legal proceedings and, to its knowledge, none were threatened.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with Vendors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contract research organizations (“CROs”), contract manufacturing organizations and other vendors for clinical trial, manufacturing and other services. These contracts are generally cancelable upon notice at the Company’s option and do not include significant cancellation penalties. Payments due upon cancellation consist of payments for services performed or expenses incurred, including non-cancelable obligations of the service providers, through the date of cancellation.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Service Agreement</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April 2026, the Company entered into a Master Manufacturing Services Agreement (the “MSA”) with Emergent BioSolutions Canada Inc. (“Emergent”) for the clinical and commercial manufacturing of SAB-142 (the “Product”). The MSA runs for five years from FDA approval of the Product and includes a minimum aggregate spend of $36.0 million following approval. Because FDA approval has not occurred, the Company has not recognized any liability related to the minimum spend commitment as of September 30, 2026.</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Breakthrough T1D Grant and PRISE-hATG Study</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July 2026, the Company agreed to co-fund the investigator-led Phase 3 PRISE-hATG study of SAB-142, which is supported by a grant from Breakthrough T1D. The Company paid its funding commitment of $1.4 million. The Company has also agreed to make contingent payments to Breakthrough T1D of up to five times the grant amount (subject to a cap on the grant amount of $3.9 million) upon the occurrence of certain events, including regulatory approval of SAB-142. As of September 30, 2026, the Company has not recorded a liability for these contingent payments because the underlying events are not considered 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229"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Operating segments are defined as components of the entity for which separate financial information is made available and that is regularly evaluated by the chief operating decision maker (CODM) in making decisions regarding resource allocation and assessing performance. The Company's CODM is its chief executive officer and the Company manages its operations as a single segment for the purposes of assessing performance and making operating decisions. The Company is focused on the development of a human anti-thymocyte globulin focused on preventing or delaying the progression of T1D.</w:t>
      </w:r>
    </w:p>
    <w:p>
      <w:pPr>
        <w:spacing w:after="0" w:line="56"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The CODM assesses the Company's performance by reviewing GAAP operating expense and significant expenses by function along with the annual budget. The chief operating decision maker considers budget-to-actual variances on a quarterly basis when making decisions about the allocation of operating and capital resources.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is representative of the significant expense categories regularly provided to the CODM when managing the Company's single reporting segment. A reconciliation to condensed consolidated operating expenses as our single segment operating loss for the three and nine months ended September 30, 2026 and 2025, is included in the table below (in thousands):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09"/>
        </w:trPr>
        <w:tc>
          <w:tcPr>
            <w:tcW w:w="5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8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research and development expenses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salaries and benefits</w:t>
            </w: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Clinical trial expense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Lab supplies and animal care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Lab services, consulting, and other direct research costs</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Total direct research and development expenses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12,716</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7,199</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32,709</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Indirect research and development expenses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(research and development)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3,864</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10,493</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research and development expense</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18,077</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8,970</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47,647</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23,624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Administrative payroll</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 and travel</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Insurance, office expense, and other administrative expenses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(general and administrative)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3,573</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9,651</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general and administrative expenses</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7,822</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21,627</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9,559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w:t>
            </w: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25,899</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12,679</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69,274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-1546225</wp:posOffset>
            </wp:positionV>
            <wp:extent cx="102235" cy="1708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02235" cy="170815"/>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-1546225</wp:posOffset>
            </wp:positionV>
            <wp:extent cx="102235" cy="1708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02235" cy="170815"/>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-1546225</wp:posOffset>
            </wp:positionV>
            <wp:extent cx="93980" cy="1708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-1546225</wp:posOffset>
            </wp:positionV>
            <wp:extent cx="93980" cy="1708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-985520</wp:posOffset>
            </wp:positionV>
            <wp:extent cx="768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-985520</wp:posOffset>
            </wp:positionV>
            <wp:extent cx="768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-985520</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-162560</wp:posOffset>
            </wp:positionV>
            <wp:extent cx="768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-162560</wp:posOffset>
            </wp:positionV>
            <wp:extent cx="7683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-162560</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condensed consolidated balance sheets as cash and cash equivalents and short-term and long-term investments.</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Long-lived assets are reported on the condensed consolidated balance sheets as property, plant and equipment, net of accumulated depreciation and these assets are held in the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evaluated subsequent events through the date of issuance of these condensed consolidated financial statements. On October 22, 2026, the five-year earnout period under the Business Combination Agreement ended and the 1,049,194 Earnout Shares held in escrow were returned to the Company as treasury shares (see Note 8,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Also on October 22, 2026, the 575,000 Public Warrants and 20,860 Private Placement Warrants expired unexercised in accordance with their terms (see Note 10,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On October 22, 2026, The Nasdaq Stock Market LLC filed a Form 25 with the SEC to delist the Public Warrants, and the delisting became effective on October 23, 2026. The withdrawal of the registration of the Public Warrants under Section 12(b) of the Exchange Act will become effective 90 days after the filing of the Form 25. Other than as disclosed above and elsewhere in these notes to the condensed consolidated financial statements, the Company has not identified any subsequent events requiring recognition or disclosure in these condensed consolidated financial statements.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and analysis of our financial condition and results of operations together with our consolidated financial statements and the accompanying notes included in Part I, Item 1 of this Form 10-Q. Some of the information contained in this discussion and analysis contains forward-looking statements that involve risks, uncertainties, and assumptions. As a result of many factors, including those factors set forth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our actual results could differ materially from those discussed in or implied by these forward-looking statements. Factors that could cause or contribute to such differences include, but are not limited to, those discussed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Please also refer to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Note Regarding Forward Looking Statements.</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“Quarterly Report” or “Form 10-Q”) includes “forward-looking statements” within the meaning of Section 27A of the Securities Act of 1933, as amended (the “Securities Act”) and Section 21E of the Securities Exchange Act of 1934, as amended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our financial position, business strategy and the plans and objectives of management for future operations, are forward-looking statements. Words such as “expect,” “believe,” “anticipate,” “intend,” “estimate,” “seek,” “plan,” “may,” “will,” “could,” “should,” “would,” “potential,” “continue” and variations and similar words and expressions are intended to identify such forward-looking statements, although not all forward-looking statements contain these identifying words. Such forward-looking statements involve known and unknown risks, relate to future events or future performance, and reflect management’s current beliefs, based on information currently available. A number of factors could cause actual events, performance or results to differ materially from the events, performance and results discussed in the forward-looking statements. In addition, historic results, including results from preclinical studies and clinical trials of SAB-142 and other product candidates, do not guarantee that future research or trials will suggest the same conclusions, nor that historic results referred to herein will be interpreted in the same manner due to future preclinical and clinical trial results or otherwise. For information identifying important factors that could cause actual results to differ materially from those anticipated in the forward-looking statements, please refer to the sections entitled “Risk Factors” in this Quarterly Report, our most recent Annual Report on Form 10-K, subsequent Quarterly Reports on Form 10-Q, and other periodic reports filed with the Securities and Exchange Commission (the “SEC”) and available at https://www.sec.gov/. Readers are cautioned not to place undue reliance on these forward-looking statements, which speak only as of the date hereof. Except as expressly required by applicable law, we disclaim any intention or obligation to update or revise any forward-looking statements whether as a result of new information, future events or otherwise. Although we believe that the expectations reflected in the forward-looking statements are reasonable, we cannot guarantee future results, levels of activity, performance, or achievements.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multi-specific, high-potency, human immunoglobulin G (hIgG) to treat and prevent immune and autoimmune disorders. Our programs are based on mechanisms of action that have achieved proof-of-concept in clinical trials in indications with significant unmet medical needs. We are focused on developing product candidates for disease targets where a differentiated approach has the greatest potential to be either first-in-class against novel targets or best-in-class against complex targets to treat diseases, including type 1 diabetes (T1D) and other autoimmune disorders. Our lead candidate, SAB-142, targets autoimmune T1D with a disease-modifying therapeutic approach that aims to change the T1D treatment paradigm by delaying onset and potentially preventing disease progression of Stage 3 T1D patients.</w:t>
      </w:r>
    </w:p>
    <w:p>
      <w:pPr>
        <w:spacing w:after="0" w:line="7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Using advanced genetic engineering and antibody science, we developed a proprietary technology which holds the potential to generate additional novel therapeutic candidates utilizing the human immune response, without the need for human donors or convalescent plasma. We believe it is the only technology capable of producing disease-targeted, hIgG in large quantities without human plasma donors.</w:t>
      </w:r>
    </w:p>
    <w:p>
      <w:pPr>
        <w:spacing w:after="0" w:line="6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have optimized genetic engineering in the development of transchromosomic cattle, or Tc-Bovine™, to produce hIgG. Our engineering of our production platform drives IgG1 production across our pipeline. In addition, this differentiated approach using polyclonal antibodies has no biosimilar pathway, which provides a significant barrier to competitive polyclonal approaches.</w:t>
      </w:r>
    </w:p>
    <w:p>
      <w:pPr>
        <w:spacing w:after="0" w:line="6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proprietary platform holds the potential to generate additional novel therapeutic candidates to expand our pipeline, utilizing the human immune response to generate the optimal repertoire of hIgG for drug targets of interest. Our drug development production system is able to generate a diverse repertoire of specifically targeted, high-potency, hIgGs that can bind to multiple sites on targeted immunogens, making them ideally suited to address the complexities associated with many immune-mediated disorders and address a wide range of serious unmet needs in human diseases.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SAB-142: Our Lead Product Candidate</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wholly owned lead product candidate, SAB-142, is a potentially disease-modifying, redosable immunotherapy in clinical development for the treatment of autoimmune type 1 diabetes (T1D). SAB-142 is a multi-specific, fully human anti-thymocyte globulin (hATG) with a mechanism of action analogous to that of rabbit ATG (rATG). rATG has demonstrated in multiple clinical trials the ability to slow disease progression in patients with new- or recent-onset of Stage 3 T1D. SAB-142, like rATG, directly targets multiple immune cells involved in destroying pancreatic beta cells, including modulation of “bad acting” T-lymphocytes. By stopping immune cells from attacking beta cells, this treatment has the potential to preserve insulin-producing beta cells. The mechanism of action of SAB-142 has been clinically validated in numerous clinical trials with a rabbit anti-thymocyte globulin (rATG). In addition, data from more than 800 human subjects have been treated with antibodies produced by our platform, including in the Phase 1 study of SAB-142, and we have seen no serum sickness rate and no incidence of neutralizing anti-drug antibodies (ADA). We expect this finding to continue through the clinical development of SAB-142.</w:t>
      </w:r>
    </w:p>
    <w:p>
      <w:pPr>
        <w:spacing w:after="0" w:line="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There is an established regulatory path for T1D indications using the SAB-142 modality. Our regulatory pathway has also been established with the United States Food and Drug Administration (FDA), the United Kingdom Medicines and Healthcare products Regulatory Agency (MHRA), and the Therapeutic Goods Administration (TGA) in Australia. The FDA regulates polyclonal hIgG and monoclonal antibodies (mAbs) differently, as mAbs are regulated through the Center for Drug Evaluation and Research (CDER) while polyclonal antibodies (pAbs) are regulated by the Center for Biologics Evaluation and Research (CBER). CBER has approved more than 30 immunoglobulin products from both human- and animal-derived plasma. Further, CBER is very familiar with our production platform and pAb products. We have navigated three SAB drug products through seven clinical trials with one product having advanced to Phase 3, building our safety database as well as positive efficacy data. As our lead program SAB-142 advances, we intend to expand our pipeline in complementary indications through strategic utilization of our platform.</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SAB-142 is being evaluated in two clinical trials: the registrational Phase 2b SAFEGUARD study in people newly diagnosed with Stage 3 T1D and the investigator-led Phase 3 PRISE-hATG study in people up to two years from a Stage 3 T1D diagnosis. We received an Investigational New Drug (IND) clearance from the FDA in May 2024 and announced positive topline data from our Phase 1 clinical trial of SAB-142 in January 2025 and December 2025. We initiated SAFEGUARD in Q3 2025 and dosed the first patient in December 2025 with enrollment ongoing across multiple clinical trial sites in U.S., Australia, New Zealand, U.K. and European Union. SAFEGUARD Part A, a dose-ranging study in adult patients, completed enrollment in Q1 2026. SAFEGUARD Part B, a randomized double-blind, placebo-controlled, dose-ranging study, is actively enrolling. Upon Part A and B completion, all patients, including the placebo-control group, with residual beta cell function at 12 months are eligible for the 12-month long-term efficacy and safety extension study (Part C).</w:t>
      </w:r>
    </w:p>
    <w:p>
      <w:pPr>
        <w:spacing w:after="0" w:line="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PRISE-hATG is a randomized, double-blind, placebo-controlled study designed to assess SAB-142 in patients with Stage 3 T1D up to two years from diagnosis with residual beta cell function, extending evaluation beyond the newly diagnosed population studied in SAFEGUARD. The investigator-led study is supported by a grant from Breakthrough T1D awarded in July 2026 and is co-funded by us. There are seven clinical sites planned in U.S., Europe and U.K. If successful, PRISE-hATG could support a potential future label expansion of SAB-142 to patients with Stage 3 T1D with onset up to two years from diagnosis.</w:t>
      </w:r>
    </w:p>
    <w:p>
      <w:pPr>
        <w:spacing w:after="0" w:line="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March 2026, we announced additional Phase 1 data demonstrating early signals of C-peptide preservation in adult patients with established autoimmune T1D, consistent with SAB-142's anticipated mechanism of action. In April 2026, we presented additional clinical and mechanistic data from our Phase 1 clinical trial of SAB-142 in adult patients with established autoimmune T1D. The Phase 1 T1D cohort included six adult participants (n=6), with four receiving SAB-142 at 2.5 mg/kg (n=4) and two receiving placebo (n=2). Participants ranged in age from 19 to 40 years. All participants with established T1D (Stage 3 T1D diagnosis within 28-40 months at the time of randomization) had residual beta cell function (C-peptide &gt;0.2 nmol/L) and at least one T1D autoantibody at baseline. Phase 1 exploratory efficacy endpoints were measured at the End of Study Day 120 post SAB-142 administration. One placebo participant (n=1) completed through Day 120 as the other placebo participant discontinued early due to personal reasons. The results for SAB-142 highlighted C-peptide preservation, correlated with evidence of T cell exhaustion. Of the four SAB-142-treated participants, three demonstrated a super responder profile with C-peptide levels at or above baseline at Day 120. SAB-142 treated participants showed improved glycemic control, with mean time in range increasing from 73% at baseline to 85% at Day 120, without an associated increase in exogenous insulin use.</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2025, we confirmed our intent with the FDA to utilize the data from the SAFEGUARD study as supportive evidence for future regulatory approval. In April 2026, we received written correspondence from the FDA confirming that C-peptide area under the curve (AUC) may serve as a surrogate endpoint for accelerated approval.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Immunology Indications</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T- and B-cells are multifunctional lymphocytes whose dysregulation was shown to have a central role in the pathogenesis of more than 80 autoimmune diseases, including T1D, systemic lupus erythematosus (SLE), rheumatoid arthritis (RA), multiple sclerosis (MS) and celiac disease. The therapeutic success to date of lymphocyte-mediating therapies in a variety of autoimmune diseases and our </w:t>
      </w:r>
      <w:r>
        <w:rPr>
          <w:rFonts w:ascii="Times New Roman" w:cs="Times New Roman" w:eastAsia="Times New Roman" w:hAnsi="Times New Roman"/>
          <w:sz w:val="18"/>
          <w:szCs w:val="18"/>
          <w:i w:val="1"/>
          <w:iCs w:val="1"/>
          <w:color w:val="auto"/>
        </w:rPr>
        <w:t>in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2" w:name="page33"/>
    <w:bookmarkEnd w:id="32"/>
    <w:p>
      <w:pPr>
        <w:ind w:right="880"/>
        <w:spacing w:after="0" w:line="409" w:lineRule="auto"/>
        <w:rPr>
          <w:sz w:val="20"/>
          <w:szCs w:val="20"/>
          <w:color w:val="auto"/>
        </w:rPr>
      </w:pP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 vitro </w:t>
      </w:r>
      <w:r>
        <w:rPr>
          <w:rFonts w:ascii="Times New Roman" w:cs="Times New Roman" w:eastAsia="Times New Roman" w:hAnsi="Times New Roman"/>
          <w:sz w:val="18"/>
          <w:szCs w:val="18"/>
          <w:color w:val="auto"/>
        </w:rPr>
        <w:t>pre-clinical and Phase 1 work from SAB-142 in T1D support direct progression into Phase 2 in other autoimmune indications.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Key Developments</w:t>
      </w:r>
    </w:p>
    <w:p>
      <w:pPr>
        <w:spacing w:after="0" w:line="5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September 2026, the SAFEGUARD Study Data Monitoring Committee (DMC) approved the second and final stepdown, expanding enrollment to pediatric patients ages 5-11. Additionally, the adult and adolescent cohorts in SAFEGUARD are now fully enrolled and closed for screening.</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October 2026, the U.S. Food and Drug Administration (FDA) granted Fast Track designation to SAB-142 for treatment of new-onset Stage 3 T1D. Fast Track designation is intended to facilitate the development and expedite the review of therapies for serious conditions where there is an unmet medical need and to help bring important new treatments to patients earlier. Fast Track designation does not change the standards for approval and does not ensure that SAB-142 will be approved or that the development, review or approval process will be faster than conventional FDA procedures, and the FDA may withdraw the designation.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primarily consist of salaries, benefits, incentive compensation, stock-based compensation, laboratory supplies and materials for employees and contractors engaged in research and product development, licensing fees to use certain technology in our research and development projects, fees paid to consultants and various entities that perform certain research and testing on our behalf. We expense all research and development costs in the period in which they are incurred.</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expect to continue to incur substantial research and development expenses as we advance our lead therapeutic candidate through Phase 2 clinical trials and invest in the necessary foundation to support potential commercialization. In addition, we expect to hire additional employees to further research and development and manufacturing activities. As a result, we expect that our research and development expenses will continue to increase in the future and vary from period to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salaries, benefits, and stock-based compensation costs for employees in our executive, accounting and finance, IT, office administration, legal and human resources functions as well as professional services fees, such as consulting, audit, tax and legal fees, and general corporate costs. We anticipate that general and administrative expenses will increase as we expand our workforce and invest in the advancement of our lead therapeutic candidate in preparation for potential commercialization. Additionally, as our operations grow in complexity and we progress toward potential commercialization, we may incur higher costs related to professional fees, director and officer insurance, and investor relations. We expect these expenses to vary from period to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change in fair value of warrant liabilities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Gain (loss) on change in fair value of warrant liabilities consists of the changes in the fair value of our Preferred Tranche C Warrants, Business Combination Public Warrants and Private Placement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Other income primarily consists of income associated with the refundable portion of Australian research and development tax credits, dividend income from non-interest bearing short-term investments, realized gains and losses on equity securities and investment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Interest income, net consists of interest earned on our investments in debt securities, cash, and cash equivalents and interest expense associated with our financing lease arrangements.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1"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Issuance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issuance expense consists of offering costs allocated to warrants that are classified as liabilities at issuance, which are expensed as incurred.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issuance expense for the prior-year period is related to the warrants issued in the Series B Offering.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three months ended September 30, 2026 and 2025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3340" w:type="dxa"/>
            <w:vAlign w:val="bottom"/>
            <w:tcBorders>
              <w:bottom w:val="single" w:sz="8" w:color="auto"/>
            </w:tcBorders>
            <w:gridSpan w:val="3"/>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156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c>
          <w:tcPr>
            <w:tcW w:w="16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560" w:type="dxa"/>
            <w:vAlign w:val="bottom"/>
            <w:tcBorders>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1560" w:type="dxa"/>
            <w:vAlign w:val="bottom"/>
            <w:tcBorders>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5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60" w:type="dxa"/>
            <w:vAlign w:val="bottom"/>
            <w:gridSpan w:val="2"/>
            <w:shd w:val="clear" w:color="auto" w:fill="CFF0FC"/>
          </w:tcPr>
          <w:p>
            <w:pPr>
              <w:jc w:val="right"/>
              <w:ind w:right="4208"/>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18,077</w:t>
            </w:r>
          </w:p>
        </w:tc>
        <w:tc>
          <w:tcPr>
            <w:tcW w:w="140" w:type="dxa"/>
            <w:vAlign w:val="bottom"/>
          </w:tcPr>
          <w:p>
            <w:pPr>
              <w:spacing w:after="0"/>
              <w:rPr>
                <w:sz w:val="18"/>
                <w:szCs w:val="18"/>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140" w:type="dxa"/>
            <w:vAlign w:val="bottom"/>
          </w:tcPr>
          <w:p>
            <w:pPr>
              <w:spacing w:after="0"/>
              <w:rPr>
                <w:sz w:val="18"/>
                <w:szCs w:val="18"/>
                <w:color w:val="auto"/>
              </w:rPr>
            </w:pPr>
          </w:p>
        </w:tc>
        <w:tc>
          <w:tcPr>
            <w:tcW w:w="6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220" w:type="dxa"/>
            <w:vAlign w:val="bottom"/>
          </w:tcPr>
          <w:p>
            <w:pPr>
              <w:spacing w:after="0"/>
              <w:rPr>
                <w:sz w:val="18"/>
                <w:szCs w:val="18"/>
                <w:color w:val="auto"/>
              </w:rPr>
            </w:pP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4,113</w:t>
            </w:r>
          </w:p>
        </w:tc>
        <w:tc>
          <w:tcPr>
            <w:tcW w:w="22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110.9%</w:t>
            </w:r>
          </w:p>
        </w:tc>
      </w:tr>
      <w:tr>
        <w:trPr>
          <w:trHeight w:val="20"/>
        </w:trPr>
        <w:tc>
          <w:tcPr>
            <w:tcW w:w="40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13,220</w:t>
            </w:r>
          </w:p>
        </w:tc>
        <w:tc>
          <w:tcPr>
            <w:tcW w:w="220" w:type="dxa"/>
            <w:vAlign w:val="bottom"/>
          </w:tcPr>
          <w:p>
            <w:pPr>
              <w:spacing w:after="0"/>
              <w:rPr>
                <w:sz w:val="18"/>
                <w:szCs w:val="18"/>
                <w:color w:val="auto"/>
              </w:rPr>
            </w:pP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104.3%</w:t>
            </w:r>
          </w:p>
        </w:tc>
      </w:tr>
      <w:tr>
        <w:trPr>
          <w:trHeight w:val="20"/>
        </w:trPr>
        <w:tc>
          <w:tcPr>
            <w:tcW w:w="40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5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(25,899)</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(12,679)</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(13,220)</w:t>
            </w:r>
          </w:p>
        </w:tc>
        <w:tc>
          <w:tcPr>
            <w:tcW w:w="1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104.3%</w:t>
            </w: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fair value of warrant liabilities</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(59,947)</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(97.3)%</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220" w:type="dxa"/>
            <w:vAlign w:val="bottom"/>
          </w:tcPr>
          <w:p>
            <w:pPr>
              <w:spacing w:after="0"/>
              <w:rPr>
                <w:sz w:val="18"/>
                <w:szCs w:val="18"/>
                <w:color w:val="auto"/>
              </w:rPr>
            </w:pP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162.7%</w:t>
            </w: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(426)</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(55.6)%</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Warrant issuance expense</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(4,852)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4,852</w:t>
            </w: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0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other income</w:t>
            </w: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58,124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(54,525)</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(93.8)%</w:t>
            </w:r>
          </w:p>
        </w:tc>
      </w:tr>
      <w:tr>
        <w:trPr>
          <w:trHeight w:val="20"/>
        </w:trPr>
        <w:tc>
          <w:tcPr>
            <w:tcW w:w="40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(22,300)</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(67,745)</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(149.1)%</w:t>
            </w:r>
          </w:p>
        </w:tc>
      </w:tr>
      <w:tr>
        <w:trPr>
          <w:trHeight w:val="20"/>
        </w:trPr>
        <w:tc>
          <w:tcPr>
            <w:tcW w:w="40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-1293495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-1293495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-1293495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-1293495</wp:posOffset>
            </wp:positionV>
            <wp:extent cx="14541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-170815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-170815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-170815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our research and development expenses for the three months ended September 30, 2026 and 2025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5"/>
                <w:szCs w:val="15"/>
                <w:color w:val="auto"/>
              </w:rPr>
            </w:pPr>
          </w:p>
        </w:tc>
        <w:tc>
          <w:tcPr>
            <w:tcW w:w="16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220" w:type="dxa"/>
            <w:vAlign w:val="bottom"/>
            <w:gridSpan w:val="2"/>
          </w:tcPr>
          <w:p>
            <w:pPr>
              <w:spacing w:after="0"/>
              <w:rPr>
                <w:sz w:val="12"/>
                <w:szCs w:val="12"/>
                <w:color w:val="auto"/>
              </w:rPr>
            </w:pPr>
          </w:p>
        </w:tc>
        <w:tc>
          <w:tcPr>
            <w:tcW w:w="106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Salaries &amp; benefits</w:t>
            </w:r>
          </w:p>
        </w:tc>
        <w:tc>
          <w:tcPr>
            <w:tcW w:w="1480" w:type="dxa"/>
            <w:vAlign w:val="bottom"/>
            <w:gridSpan w:val="2"/>
            <w:shd w:val="clear" w:color="auto" w:fill="CFF0FC"/>
          </w:tcPr>
          <w:p>
            <w:pPr>
              <w:jc w:val="right"/>
              <w:ind w:right="82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8,264</w:t>
            </w:r>
          </w:p>
        </w:tc>
        <w:tc>
          <w:tcPr>
            <w:tcW w:w="1280" w:type="dxa"/>
            <w:vAlign w:val="bottom"/>
            <w:gridSpan w:val="3"/>
            <w:shd w:val="clear" w:color="auto" w:fill="CFF0FC"/>
          </w:tcPr>
          <w:p>
            <w:pPr>
              <w:jc w:val="right"/>
              <w:ind w:right="90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22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220" w:type="dxa"/>
            <w:vAlign w:val="bottom"/>
          </w:tcPr>
          <w:p>
            <w:pPr>
              <w:spacing w:after="0"/>
              <w:rPr>
                <w:sz w:val="18"/>
                <w:szCs w:val="18"/>
                <w:color w:val="auto"/>
              </w:rPr>
            </w:pP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Animal care</w:t>
            </w: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(84)</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expense</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220" w:type="dxa"/>
            <w:vAlign w:val="bottom"/>
          </w:tcPr>
          <w:p>
            <w:pPr>
              <w:spacing w:after="0"/>
              <w:rPr>
                <w:sz w:val="18"/>
                <w:szCs w:val="18"/>
                <w:color w:val="auto"/>
              </w:rPr>
            </w:pP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Outside laboratory services</w:t>
            </w: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22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546.3%</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Project consulting</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20" w:type="dxa"/>
            <w:vAlign w:val="bottom"/>
          </w:tcPr>
          <w:p>
            <w:pPr>
              <w:spacing w:after="0"/>
              <w:rPr>
                <w:sz w:val="18"/>
                <w:szCs w:val="18"/>
                <w:color w:val="auto"/>
              </w:rPr>
            </w:pP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241.1%</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expense</w:t>
            </w: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220" w:type="dxa"/>
            <w:vAlign w:val="bottom"/>
          </w:tcPr>
          <w:p>
            <w:pPr>
              <w:spacing w:after="0"/>
              <w:rPr>
                <w:sz w:val="18"/>
                <w:szCs w:val="18"/>
                <w:color w:val="auto"/>
              </w:rPr>
            </w:pP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18,077</w:t>
            </w:r>
          </w:p>
        </w:tc>
        <w:tc>
          <w:tcPr>
            <w:tcW w:w="100" w:type="dxa"/>
            <w:vAlign w:val="bottom"/>
            <w:shd w:val="clear" w:color="auto" w:fill="CFF0FC"/>
          </w:tcPr>
          <w:p>
            <w:pPr>
              <w:spacing w:after="0"/>
              <w:rPr>
                <w:sz w:val="19"/>
                <w:szCs w:val="19"/>
                <w:color w:val="auto"/>
              </w:rPr>
            </w:pPr>
          </w:p>
        </w:tc>
        <w:tc>
          <w:tcPr>
            <w:tcW w:w="120" w:type="dxa"/>
            <w:vAlign w:val="bottom"/>
            <w:vMerge w:val="continue"/>
          </w:tcPr>
          <w:p>
            <w:pPr>
              <w:spacing w:after="0"/>
              <w:rPr>
                <w:sz w:val="19"/>
                <w:szCs w:val="19"/>
                <w:color w:val="auto"/>
              </w:rPr>
            </w:pPr>
          </w:p>
        </w:tc>
        <w:tc>
          <w:tcPr>
            <w:tcW w:w="1060" w:type="dxa"/>
            <w:vAlign w:val="bottom"/>
            <w:shd w:val="clear" w:color="auto" w:fill="CFF0FC"/>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9,107</w:t>
            </w:r>
          </w:p>
        </w:tc>
        <w:tc>
          <w:tcPr>
            <w:tcW w:w="22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-24765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-7620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7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$9.1 million, or 101.5%, for the three months ended September 30, 2026, as compared to the three months ended September 30, 2025, primarily due to increased clinical trial costs and related headcount to support the advancement of SAB-142 into our Registrational Phase 2b SAFEGUARD study.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$4.1 million or 110.9%, in the three months ended September 30, 2026, as compared to the three months ended September 30, 2025, primarily due to increased headcount costs, including related non-cash stock-based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Warrant Liabilities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Changes in fair value of warrant liabilities decreased by $59.9 million, or 97.3%, during the three months ended September 30, 2026, as compared to the three months ended September 30, 2025, primarily due to the $62.0 million gain recognized in the prior-year period on the Release Date Warrants and Enrollment Date Warrants issued in connection with the Series B Offering. These warrants were remeasured through September 26, 2025, when they were reclassified to stockholders’ equity following stockholder approval,</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4" w:name="page35"/>
    <w:bookmarkEnd w:id="34"/>
    <w:p>
      <w:pPr>
        <w:ind w:right="1200"/>
        <w:spacing w:after="0" w:line="407" w:lineRule="auto"/>
        <w:rPr>
          <w:sz w:val="20"/>
          <w:szCs w:val="20"/>
          <w:color w:val="auto"/>
        </w:rPr>
      </w:pPr>
      <w:r>
        <w:rPr>
          <w:rFonts w:ascii="Times New Roman" w:cs="Times New Roman" w:eastAsia="Times New Roman" w:hAnsi="Times New Roman"/>
          <w:sz w:val="18"/>
          <w:szCs w:val="18"/>
          <w:color w:val="auto"/>
        </w:rPr>
        <w:t xml:space="preserve">and are no longer remeasured. This decrease was partially offset by a gain on the change in fair value of our Preferred Tranche C Warrants. </w:t>
      </w:r>
      <w:r>
        <w:rPr>
          <w:rFonts w:ascii="Times New Roman" w:cs="Times New Roman" w:eastAsia="Times New Roman" w:hAnsi="Times New Roman"/>
          <w:sz w:val="18"/>
          <w:szCs w:val="18"/>
          <w:b w:val="1"/>
          <w:bCs w:val="1"/>
          <w:i w:val="1"/>
          <w:iCs w:val="1"/>
          <w:color w:val="auto"/>
        </w:rPr>
        <w:t>Interest Income, Net</w:t>
      </w:r>
    </w:p>
    <w:p>
      <w:pPr>
        <w:spacing w:after="0" w:line="54"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Interest income increased by $1.0 million, or 162.7%, during the three months ended September 30, 2026, as compared to the three months ended September 30, 2025, primarily due to higher average short-term and long-term investment balances as a result of the March 2026 Public Offering and Release Date and Enrollment Date Warrant exercises.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Other income decreased by $0.4 million, or 55.6%, in the three months ended September 30, 2026, as compared to the three months ended September 30, 2025, primarily driven by a decrease in the Australian research and development tax credit.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Issuance Expense</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Warrant issuance expense decreased by $4.9 million, or 100.0%, in the three months ended September 30, 2026, as compared to the three months ended September 30, 2025, due to issuance costs allocated to the liability classified Enrollment Date Warrants and Release Date Warrants issued in connection with the Series B Offering, which were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nine months ended September 30, 2026 and 2025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3240" w:type="dxa"/>
            <w:vAlign w:val="bottom"/>
            <w:tcBorders>
              <w:bottom w:val="single" w:sz="8" w:color="auto"/>
            </w:tcBorders>
            <w:gridSpan w:val="3"/>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5"/>
                <w:szCs w:val="15"/>
                <w:color w:val="auto"/>
              </w:rPr>
            </w:pPr>
          </w:p>
        </w:tc>
        <w:tc>
          <w:tcPr>
            <w:tcW w:w="158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5"/>
                <w:szCs w:val="15"/>
                <w:color w:val="auto"/>
              </w:rPr>
            </w:pPr>
          </w:p>
        </w:tc>
        <w:tc>
          <w:tcPr>
            <w:tcW w:w="18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440" w:type="dxa"/>
            <w:vAlign w:val="bottom"/>
            <w:tcBorders>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1580" w:type="dxa"/>
            <w:vAlign w:val="bottom"/>
            <w:tcBorders>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58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gridSpan w:val="2"/>
            <w:shd w:val="clear" w:color="auto" w:fill="CFF0FC"/>
          </w:tcPr>
          <w:p>
            <w:pPr>
              <w:jc w:val="right"/>
              <w:ind w:right="4088"/>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47,647</w:t>
            </w:r>
          </w:p>
        </w:tc>
        <w:tc>
          <w:tcPr>
            <w:tcW w:w="14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23,624</w:t>
            </w:r>
          </w:p>
        </w:tc>
        <w:tc>
          <w:tcPr>
            <w:tcW w:w="120" w:type="dxa"/>
            <w:vAlign w:val="bottom"/>
          </w:tcPr>
          <w:p>
            <w:pPr>
              <w:spacing w:after="0"/>
              <w:rPr>
                <w:sz w:val="18"/>
                <w:szCs w:val="18"/>
                <w:color w:val="auto"/>
              </w:rPr>
            </w:pPr>
          </w:p>
        </w:tc>
        <w:tc>
          <w:tcPr>
            <w:tcW w:w="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24,023</w:t>
            </w:r>
          </w:p>
        </w:tc>
        <w:tc>
          <w:tcPr>
            <w:tcW w:w="200" w:type="dxa"/>
            <w:vAlign w:val="bottom"/>
          </w:tcPr>
          <w:p>
            <w:pPr>
              <w:spacing w:after="0"/>
              <w:rPr>
                <w:sz w:val="18"/>
                <w:szCs w:val="18"/>
                <w:color w:val="auto"/>
              </w:rPr>
            </w:pP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21,627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9,559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12,068</w:t>
            </w:r>
          </w:p>
        </w:tc>
        <w:tc>
          <w:tcPr>
            <w:tcW w:w="20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126.2%</w:t>
            </w:r>
          </w:p>
        </w:tc>
      </w:tr>
      <w:tr>
        <w:trPr>
          <w:trHeight w:val="20"/>
        </w:trPr>
        <w:tc>
          <w:tcPr>
            <w:tcW w:w="40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36,091</w:t>
            </w:r>
          </w:p>
        </w:tc>
        <w:tc>
          <w:tcPr>
            <w:tcW w:w="200" w:type="dxa"/>
            <w:vAlign w:val="bottom"/>
          </w:tcPr>
          <w:p>
            <w:pPr>
              <w:spacing w:after="0"/>
              <w:rPr>
                <w:sz w:val="18"/>
                <w:szCs w:val="18"/>
                <w:color w:val="auto"/>
              </w:rPr>
            </w:pP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108.8%</w:t>
            </w:r>
          </w:p>
        </w:tc>
      </w:tr>
      <w:tr>
        <w:trPr>
          <w:trHeight w:val="20"/>
        </w:trPr>
        <w:tc>
          <w:tcPr>
            <w:tcW w:w="40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(69,274)</w:t>
            </w: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(33,183)</w:t>
            </w: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(36,091)</w:t>
            </w:r>
          </w:p>
        </w:tc>
        <w:tc>
          <w:tcPr>
            <w:tcW w:w="2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108.8%</w:t>
            </w: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fair value of warrant liabilities</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66,007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(65,949)</w:t>
            </w:r>
          </w:p>
        </w:tc>
        <w:tc>
          <w:tcPr>
            <w:tcW w:w="2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3,685</w:t>
            </w:r>
          </w:p>
        </w:tc>
        <w:tc>
          <w:tcPr>
            <w:tcW w:w="200" w:type="dxa"/>
            <w:vAlign w:val="bottom"/>
          </w:tcPr>
          <w:p>
            <w:pPr>
              <w:spacing w:after="0"/>
              <w:rPr>
                <w:sz w:val="18"/>
                <w:szCs w:val="18"/>
                <w:color w:val="auto"/>
              </w:rPr>
            </w:pP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665.2%</w:t>
            </w: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(291)</w:t>
            </w:r>
          </w:p>
        </w:tc>
        <w:tc>
          <w:tcPr>
            <w:tcW w:w="2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Warrant issuance expense</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(4,852)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4,852</w:t>
            </w:r>
          </w:p>
        </w:tc>
        <w:tc>
          <w:tcPr>
            <w:tcW w:w="200" w:type="dxa"/>
            <w:vAlign w:val="bottom"/>
          </w:tcPr>
          <w:p>
            <w:pPr>
              <w:spacing w:after="0"/>
              <w:rPr>
                <w:sz w:val="18"/>
                <w:szCs w:val="18"/>
                <w:color w:val="auto"/>
              </w:rPr>
            </w:pP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0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other income</w:t>
            </w: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63,317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(57,703)</w:t>
            </w:r>
          </w:p>
        </w:tc>
        <w:tc>
          <w:tcPr>
            <w:tcW w:w="2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(91.1)%</w:t>
            </w:r>
          </w:p>
        </w:tc>
      </w:tr>
      <w:tr>
        <w:trPr>
          <w:trHeight w:val="20"/>
        </w:trPr>
        <w:tc>
          <w:tcPr>
            <w:tcW w:w="40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(63,660)</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(93,794)</w:t>
            </w: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(311.3)%</w:t>
            </w:r>
          </w:p>
        </w:tc>
      </w:tr>
      <w:tr>
        <w:trPr>
          <w:trHeight w:val="20"/>
        </w:trPr>
        <w:tc>
          <w:tcPr>
            <w:tcW w:w="40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-1293495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-1293495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-1293495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-1293495</wp:posOffset>
            </wp:positionV>
            <wp:extent cx="14541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-170815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-170815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-170815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our research and development expenses for the nine months ended September 30, 2026 and 2025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c>
          <w:tcPr>
            <w:tcW w:w="166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Salaries &amp; benefits</w:t>
            </w:r>
          </w:p>
        </w:tc>
        <w:tc>
          <w:tcPr>
            <w:tcW w:w="1520" w:type="dxa"/>
            <w:vAlign w:val="bottom"/>
            <w:gridSpan w:val="2"/>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23,067</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13,210</w:t>
            </w:r>
          </w:p>
        </w:tc>
        <w:tc>
          <w:tcPr>
            <w:tcW w:w="20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2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Animal care</w:t>
            </w: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0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expense</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7,356</w:t>
            </w:r>
          </w:p>
        </w:tc>
        <w:tc>
          <w:tcPr>
            <w:tcW w:w="2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Outside laboratory services</w:t>
            </w: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20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Project consulting</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expense</w:t>
            </w: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20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22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47,647</w:t>
            </w:r>
          </w:p>
        </w:tc>
        <w:tc>
          <w:tcPr>
            <w:tcW w:w="100" w:type="dxa"/>
            <w:vAlign w:val="bottom"/>
            <w:shd w:val="clear" w:color="auto" w:fill="CFF0FC"/>
          </w:tcPr>
          <w:p>
            <w:pPr>
              <w:spacing w:after="0"/>
              <w:rPr>
                <w:sz w:val="19"/>
                <w:szCs w:val="19"/>
                <w:color w:val="auto"/>
              </w:rPr>
            </w:pPr>
          </w:p>
        </w:tc>
        <w:tc>
          <w:tcPr>
            <w:tcW w:w="100" w:type="dxa"/>
            <w:vAlign w:val="bottom"/>
            <w:vMerge w:val="continue"/>
          </w:tcPr>
          <w:p>
            <w:pPr>
              <w:spacing w:after="0"/>
              <w:rPr>
                <w:sz w:val="19"/>
                <w:szCs w:val="19"/>
                <w:color w:val="auto"/>
              </w:rPr>
            </w:pP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23,624</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24,023</w:t>
            </w:r>
          </w:p>
        </w:tc>
        <w:tc>
          <w:tcPr>
            <w:tcW w:w="2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-933450</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-916305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-933450</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-916305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-933450</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-916305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-933450</wp:posOffset>
            </wp:positionV>
            <wp:extent cx="11176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-916305</wp:posOffset>
            </wp:positionV>
            <wp:extent cx="1117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right="2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$24.0 million, or 101.7%, for the nine months ended September 30, 2026, as compared to the nine months ended September 30, 2025, primarily due to increased clinical trial costs and related headcount to support the advancement of SAB-142 into our Registrational Phase 2b SAFEGUARD study.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$12.1 million, or 126.2%, in the nine months ended September 30, 2026, as compared to the nine months ended September 30, 2025, primarily due to increased headcount costs, including related non-cash stock-based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Warrant Liabilities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Changes in fair value of warrant liabilities decreased by $65.9 million, or 99.9%, during the nine months ended September 30, 2026, as compared to the nine months ended September 30, 2025, primarily due to the $62.0 million gain recognized in the prior-year period on the Release Date Warrants and Enrollment Date Warrants issued in connection with the Series B Offering. These warrants were remeasured through September 26, 2025, when they were reclassified to stockholders’ equity following stockholder approval, and are no longer remeasured. This decrease was partially offset by a gain on the change in fair value of our Public Warrants and Private Placement Warrants.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Interest income increased by $3.7 million, or 665.2%, during the nine months ended September 30, 2026, as compared to the nine months ended September 30, 2025, primarily due to higher average short-term and long-term investment balances as a result of the March 2026 Public Offering and Release Date and Enrollment Date Warrant exercises.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Other income decreased by $0.3 million, or 18.1%, in the nine months ended September 30, 2026, as compared to the nine months ended September 30, 2025, primarily driven by a decrease in the Australian research and development tax credit.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Issuance Expense</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Warrant issuance expense decreased by $4.9 million, or 100.0%, in the nine months ended September 30, 2026, as compared to the nine months ended September 30, 2025, due to issuance costs allocated to the liability classified Enrollment Date Warrants and Release Date Warrants issued in connection with the Series B Offering, which were expensed as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September 30, 2026, we had an accumulated deficit of $174.6 million. We expect to continue to incur operating losses for the foreseeable future as we fund product development, regulatory approval efforts, clinical trials, and commercial readiness activities, and we will require additional capital to support our long-term plans.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July 2025, we completed the Series B Offering, generating approximately $175.0 million in gross proceeds before fees and expenses through the sale of Series B Preferred Stock (convertible into common stock following stockholder approval) together with the Release Date Warrants and Enrollment Date Warrants. During the three and nine months ended September 30, 2026, we received gross proceeds before placement agent fees of $13.4 million and $17.4 million, respectively from the exercise of Release Date Warrants and Enrollment Date Warrants.</w:t>
      </w:r>
    </w:p>
    <w:p>
      <w:pPr>
        <w:spacing w:after="0" w:line="7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March 2026, we completed the March 2026 Public Offering, generating aggregate gross proceeds of approximately $95.0 million before underwriting discounts, commissions, and offering expenses. The net proceeds are intended to fund the Phase 2b SAFEGUARD study of SAB-142 and for general corporate purposes.</w:t>
      </w:r>
    </w:p>
    <w:p>
      <w:pPr>
        <w:spacing w:after="0" w:line="66"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color w:val="auto"/>
        </w:rPr>
        <w:t xml:space="preserve">See Note 8,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our condensed consolidated financial statements for more information about the Series B Offering and March 2026 Public Offering.</w:t>
      </w:r>
    </w:p>
    <w:p>
      <w:pPr>
        <w:spacing w:after="0" w:line="5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Based on our current level of operating expenses, existing resources will be sufficient to cover operating cash needs for at least one year from the date the condensed consolidated financial statements included in this Quarterly Report are issued. In the future, we may seek additional funding through a combination of equity or debt financings, or other third-party financing, collaborative or other funding arrangements.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December 29, 2025, we filed a Registration Statement on Form S-3 (Registration No. 333-292482) (the “Shelf Registration Statement”), declared effective on January 7, 2026 by the SEC, which includes a base prospectus that allows us to offer and sell, from time to time, in one or more offerings, common stock, preferred stock, debt securities, warrants, rights or units up to an aggregate public offering price of $300.0 million. The Shelf Registration Statement is intended to preserve our flexibility to raise capital from time to time, if and when needed.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2026 and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0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7"/>
        </w:trPr>
        <w:tc>
          <w:tcPr>
            <w:tcW w:w="7300" w:type="dxa"/>
            <w:vAlign w:val="bottom"/>
          </w:tcPr>
          <w:p>
            <w:pPr>
              <w:spacing w:after="0"/>
              <w:rPr>
                <w:sz w:val="12"/>
                <w:szCs w:val="12"/>
                <w:color w:val="auto"/>
              </w:rPr>
            </w:pPr>
          </w:p>
        </w:tc>
        <w:tc>
          <w:tcPr>
            <w:tcW w:w="1100" w:type="dxa"/>
            <w:vAlign w:val="bottom"/>
            <w:tcBorders>
              <w:bottom w:val="single" w:sz="8" w:color="auto"/>
            </w:tcBorders>
          </w:tcPr>
          <w:p>
            <w:pPr>
              <w:jc w:val="right"/>
              <w:ind w:right="2"/>
              <w:spacing w:after="0" w:line="147"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00" w:type="dxa"/>
            <w:vAlign w:val="bottom"/>
            <w:shd w:val="clear" w:color="auto" w:fill="CFF0FC"/>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(37,135)</w:t>
            </w:r>
          </w:p>
        </w:tc>
        <w:tc>
          <w:tcPr>
            <w:tcW w:w="1060" w:type="dxa"/>
            <w:vAlign w:val="bottom"/>
            <w:shd w:val="clear" w:color="auto" w:fill="CFF0FC"/>
          </w:tcPr>
          <w:p>
            <w:pPr>
              <w:jc w:val="right"/>
              <w:ind w:right="90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(27,999)</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(64,462)</w:t>
            </w:r>
          </w:p>
        </w:tc>
        <w:tc>
          <w:tcPr>
            <w:tcW w:w="10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(119,999)</w:t>
            </w: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105,286</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168,341</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8"/>
                <w:szCs w:val="18"/>
                <w:color w:val="auto"/>
              </w:rPr>
            </w:pPr>
          </w:p>
        </w:tc>
      </w:tr>
      <w:tr>
        <w:trPr>
          <w:trHeight w:val="249"/>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100" w:type="dxa"/>
            <w:vAlign w:val="bottom"/>
            <w:tcBorders>
              <w:bottom w:val="single" w:sz="8" w:color="auto"/>
            </w:tcBorders>
            <w:shd w:val="clear" w:color="auto" w:fill="CFF0FC"/>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90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-25400</wp:posOffset>
            </wp:positionV>
            <wp:extent cx="7747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774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increased by $9.1 million in the nine months ended September 30, 2026, as compared to the nine months ended September 30, 2025. This increase was primarily driven by higher operating expenses, including increased clinical trial expenses and related headcount as we continue to advance the development of our lead product candidate, SAB-142.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decreased by $55.5 million in the nine months ended September 30, 2026, as compared to the nine months ended September 30, 2025, primarily due to increased proceeds from sales and maturities of investments, partially offset by an increase in purchases of short-term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decreased by $63.1 million in the nine months ended September 30, 2026, as compared to the nine months ended September 30, 2025, primarily due to proceeds from the July 2025 offering in the prior-year period, partially offset by the March 2026 Public Offering and exercise of Enrollment Date Warrants and Release Date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contract research organizations (“CROs”), contract manufacturing organizations and other vendors for clinical trial, manufacturing and other services. These contracts are generally cancelable upon notice and do not include significant cancellation penalties. Payments due upon cancellation consist of payments for services performed or expenses incurred, including non-cancelable obligations of the service providers, through the date of cancellation.</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April 2026, we entered into a Master Manufacturing Services Agreement with Emergent for the clinical and commercial manufacturing of SAB-142, which includes a minimum aggregate spend of $36.0 million over a five-year term following FDA approval. Because FDA approval has not occurred, we have not recognized any liability related to this minimum spend commitment. We expect to make substantial payments to Emergent over the next 24 to 36 months in connection with this agreement.</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July 2026, we agreed to co-fund the investigator-led Phase 3 PRISE-hATG study of SAB-142, which is supported by a grant from Breakthrough T1D, and we have paid our $1.4 million funding commitment in full. We have also agreed to make contingent payments to Breakthrough T1D of up to five times the grant amount (subject to a cap on the grant amount of $3.9 million) upon the occurrence of certain events, including regulatory approval of SAB-142. We have not recorded a liability for these contingent payments because the underlying events are not considered probable.</w:t>
      </w:r>
    </w:p>
    <w:p>
      <w:pPr>
        <w:spacing w:after="0" w:line="7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terminated our office lease in Miami Beach, Florida and entered into a new lease for expanded space at the same location. The new lease commenced January 1, 2026 and has a five-year term. During the second quarter of 2026, we also reduced the leased space under our operating lease with Sanford Health; the terms of the original agreement remained unchanged, including the lease term</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7" w:name="page38"/>
    <w:bookmarkEnd w:id="37"/>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ending December 31, 2029. Additionally, our office, laboratory, and warehouse space lease renewed in November 2023 has a three-year term expiring in November 2026. In October 2026, we exercised our option to extend this lease for an additional three-year term through November 2029. As of September 30, 2026, our total operating and finance lease liabilities were approximately $1.8 million and $3.2 million, respectively. See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our condensed consolidated financial statements for further details.</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Except as described above, as of September 30, 2026, there were no material changes outside of the ordinary course of business to our commitments and contractual obligations.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We did not have, for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prepared our condensed consolidated financial statements in accordance with U.S. GAAP. Our preparation of these condensed consolidated financial statements requires us to make estimates, assumptions and judgments that affect the reported amounts of assets, liabilities, revenue, expenses, and related disclosures.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Our most critical accounting estimates and assumptions are included in our Annual Report on Form 10-K for the year ended December 31, 2025 filed with the SEC on March 9, 2026 and our Quarterly Report on Form 10-Q for the quarter ended June 30, 2026, filed with the SEC on August 6, 2026. There have been no significant changes to our critical accounting policies during the three months ended September 30, 2026. See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to our condensed consolidated financial statements for further details.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Jumpstart Our Business Startups (“JOBS”) Act, enacted in April 2012, permits an “emerging growth company” such as us to take advantage of an extended transition period to comply with new or revised accounting standards applicable to public companies until those standards would otherwise apply to private companies. Through December 31, 2026, we may continue to take advantage of the reduced reporting requirements and exemptions, including the longer phase-in periods for the adoption of new or revised financial accounting standards, for an emerging growth company under Section 107 of the JOBS Act.</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cease to be an emerging growth company on December 31, 2026, the last day of the fiscal year following the fifth anniversary of the closing of the initial public offering of Big Cypress Acquisition Corp. Beginning with our Annual Report on Form 10-K for the year ending December 31, 2026, we will be required to comply with new or revised accounting standards as of the effective dates applicable to public business entities. We expect to continue to qualify as a smaller reporting company and, as such, may continue to rely on certain scaled disclosure requirements.</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this Form 10-Q and may elect to take advantage of other reduced reporting requirements in future filings. As a result, the information that we provide to our shareholders may be different than the information you receive from other public companies in which you hold stock.</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JOBS Act provides that an emerging growth company can take advantage of an extended transition period for complying with new or revised accounting standards, until those standards apply to private companies. We have elected to take advantage of the benefits of this extended transition period and, therefore, we will not be subject to the same new or revised accounting standards as other public companies that are not emerging growth companies.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we will adopt the recently issued accounting standard.</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no revenue for the three and nine months ended September 30, 2026. To date, no receivables have been written off.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As of September 30, 2026 and December 31, 2025, we had cash, cash equivalents, U.S. treasury securities, corporate bonds, investments in exchange traded mutual funds, and money market funds of $205.3 million and $143.5 million, respectively, all of which was maintained in bank accounts, money market funds, mutual funds, U.S. treasury securities and corporate bonds. Our primary exposure to market risk is to interest income volatility, which is affected by changes in the general level of interest rates. A 10% change in the market interest rates would not have a material effect on our business,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conduct materially all of our business in U.S. dollars. We do not have any foreign currency or other derivative financial instruments. Our primary exposure to changes in foreign currency exchange rates relates mainly to SAB Australia. We do not currently hedge our foreign currency exchange rate risk. As of September 30, 2026 and December 31, 2025, our liabilities denominated in foreign currencies were not material. Accordingly, we do not believe a 10% increase or decrease in current exchange rates would have a material effect on our financial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81"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the evaluation as of September 30, 2026, our Chief Executive Officer and Chief Financial Officer have concluded that the Company’s disclosure controls and procedures were effective as of September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September 30, 2026,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9" w:name="page40"/>
    <w:bookmarkEnd w:id="3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not currently a party to any material litigation, nor are we aware of any pending or threatened litigation against us that we believe would materially affect our business, operating results, financial condition, or cash flows. Participants in our industry face frequent claims and litigation, including securities litigation, claims regarding patent and other intellectual property rights, and other liability claims. As a result, we may be involved in various legal proceedings from time to time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business is subject to various risks, including those described in Item 1A of our Annual Report on Form 10-K for the fiscal year ended December 31, 2025, filed with the SEC on March 9, 2026, which we strongly encourage you to review (the “2025 Annual Report”). There have been no material changes from the risk factors described in our 2025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none of the Company’s directors or officers (as defined in Rule 16a-1(f) of the Exchange Act) adopted, terminated or modified a Rule 10b5-1 trading arrangement or non-Rule 10b5-1 trading arrangement (as such terms are defined in Item 408 of Regulation S-K).</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5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6"/>
                <w:szCs w:val="16"/>
                <w:color w:val="auto"/>
              </w:rPr>
            </w:pPr>
          </w:p>
        </w:tc>
      </w:tr>
      <w:tr>
        <w:trPr>
          <w:trHeight w:val="388"/>
        </w:trPr>
        <w:tc>
          <w:tcPr>
            <w:tcW w:w="116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98"/>
              </w:rPr>
              <w:t>31.1*</w:t>
            </w:r>
          </w:p>
        </w:tc>
        <w:tc>
          <w:tcPr>
            <w:tcW w:w="45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5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13a-14(a) and 15d-14(a) under the Securities Exchange Act of</w:t>
            </w:r>
          </w:p>
        </w:tc>
        <w:tc>
          <w:tcPr>
            <w:tcW w:w="40" w:type="dxa"/>
            <w:vAlign w:val="bottom"/>
            <w:tcBorders>
              <w:bottom w:val="single" w:sz="8" w:color="0000FF"/>
            </w:tcBorders>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5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w:t>
            </w:r>
          </w:p>
        </w:tc>
        <w:tc>
          <w:tcPr>
            <w:tcW w:w="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2820" w:type="dxa"/>
            <w:vAlign w:val="bottom"/>
            <w:tcBorders>
              <w:top w:val="single" w:sz="8" w:color="0000FF"/>
            </w:tcBorders>
          </w:tcPr>
          <w:p>
            <w:pPr>
              <w:spacing w:after="0"/>
              <w:rPr>
                <w:sz w:val="17"/>
                <w:szCs w:val="17"/>
                <w:color w:val="auto"/>
              </w:rPr>
            </w:pPr>
          </w:p>
        </w:tc>
        <w:tc>
          <w:tcPr>
            <w:tcW w:w="2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116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98"/>
              </w:rPr>
              <w:t>31.2*</w:t>
            </w:r>
          </w:p>
        </w:tc>
        <w:tc>
          <w:tcPr>
            <w:tcW w:w="44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5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13a-14(a) and 15d-14(a) under the Securities Exchange Act of</w:t>
            </w:r>
          </w:p>
        </w:tc>
        <w:tc>
          <w:tcPr>
            <w:tcW w:w="40" w:type="dxa"/>
            <w:vAlign w:val="bottom"/>
            <w:tcBorders>
              <w:bottom w:val="single" w:sz="8" w:color="0000FF"/>
            </w:tcBorders>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5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w:t>
            </w:r>
          </w:p>
        </w:tc>
        <w:tc>
          <w:tcPr>
            <w:tcW w:w="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2820" w:type="dxa"/>
            <w:vAlign w:val="bottom"/>
            <w:tcBorders>
              <w:top w:val="single" w:sz="8" w:color="0000FF"/>
            </w:tcBorders>
          </w:tcPr>
          <w:p>
            <w:pPr>
              <w:spacing w:after="0"/>
              <w:rPr>
                <w:sz w:val="17"/>
                <w:szCs w:val="17"/>
                <w:color w:val="auto"/>
              </w:rPr>
            </w:pPr>
          </w:p>
        </w:tc>
        <w:tc>
          <w:tcPr>
            <w:tcW w:w="2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tabs>
          <w:tab w:leader="none" w:pos="1020" w:val="left"/>
          <w:tab w:leader="none" w:pos="2380" w:val="left"/>
          <w:tab w:leader="none" w:pos="3400" w:val="left"/>
        </w:tabs>
        <w:rPr>
          <w:sz w:val="20"/>
          <w:szCs w:val="20"/>
          <w:color w:val="auto"/>
        </w:rPr>
      </w:pPr>
      <w:r>
        <w:rPr>
          <w:rFonts w:ascii="Times New Roman" w:cs="Times New Roman" w:eastAsia="Times New Roman" w:hAnsi="Times New Roman"/>
          <w:sz w:val="14"/>
          <w:szCs w:val="14"/>
          <w:b w:val="1"/>
          <w:bCs w:val="1"/>
          <w:color w:val="auto"/>
        </w:rPr>
        <w:t>Schedule/</w:t>
      </w:r>
      <w:r>
        <w:rPr>
          <w:sz w:val="20"/>
          <w:szCs w:val="20"/>
          <w:color w:val="auto"/>
        </w:rPr>
        <w:tab/>
      </w:r>
      <w:r>
        <w:rPr>
          <w:rFonts w:ascii="Times New Roman" w:cs="Times New Roman" w:eastAsia="Times New Roman" w:hAnsi="Times New Roman"/>
          <w:sz w:val="14"/>
          <w:szCs w:val="14"/>
          <w:b w:val="1"/>
          <w:bCs w:val="1"/>
          <w:color w:val="auto"/>
        </w:rPr>
        <w:t>File No.</w:t>
      </w:r>
      <w:r>
        <w:rPr>
          <w:sz w:val="20"/>
          <w:szCs w:val="20"/>
          <w:color w:val="auto"/>
        </w:rPr>
        <w:tab/>
      </w: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Form</w:t>
      </w:r>
    </w:p>
    <w:p>
      <w:pPr>
        <w:spacing w:after="0" w:line="2055" w:lineRule="exact"/>
        <w:rPr>
          <w:sz w:val="20"/>
          <w:szCs w:val="20"/>
          <w:color w:val="auto"/>
        </w:rPr>
      </w:pPr>
    </w:p>
    <w:p>
      <w:pPr>
        <w:sectPr>
          <w:pgSz w:w="11900" w:h="16838" w:orient="portrait"/>
          <w:cols w:equalWidth="0" w:num="2">
            <w:col w:w="5700" w:space="60"/>
            <w:col w:w="5220"/>
          </w:cols>
          <w:pgMar w:left="320" w:top="1305" w:right="599" w:bottom="1440" w:gutter="0" w:footer="0" w:header="0"/>
        </w:sect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30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3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18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3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 w:type="dxa"/>
            <w:vAlign w:val="bottom"/>
            <w:tcBorders>
              <w:bottom w:val="single" w:sz="8" w:color="0000EE"/>
            </w:tcBorders>
          </w:tcPr>
          <w:p>
            <w:pPr>
              <w:spacing w:after="0"/>
              <w:rPr>
                <w:sz w:val="17"/>
                <w:szCs w:val="17"/>
                <w:color w:val="auto"/>
              </w:rPr>
            </w:pPr>
          </w:p>
        </w:tc>
        <w:tc>
          <w:tcPr>
            <w:tcW w:w="2160" w:type="dxa"/>
            <w:vAlign w:val="bottom"/>
            <w:gridSpan w:val="4"/>
          </w:tcPr>
          <w:p>
            <w:pPr>
              <w:spacing w:after="0"/>
              <w:rPr>
                <w:sz w:val="17"/>
                <w:szCs w:val="17"/>
                <w:color w:val="auto"/>
              </w:rPr>
            </w:pPr>
          </w:p>
        </w:tc>
      </w:tr>
      <w:tr>
        <w:trPr>
          <w:trHeight w:val="3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2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34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3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18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3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 w:type="dxa"/>
            <w:vAlign w:val="bottom"/>
            <w:tcBorders>
              <w:bottom w:val="single" w:sz="8" w:color="0000EE"/>
            </w:tcBorders>
          </w:tcPr>
          <w:p>
            <w:pPr>
              <w:spacing w:after="0"/>
              <w:rPr>
                <w:sz w:val="17"/>
                <w:szCs w:val="17"/>
                <w:color w:val="auto"/>
              </w:rPr>
            </w:pPr>
          </w:p>
        </w:tc>
        <w:tc>
          <w:tcPr>
            <w:tcW w:w="2160" w:type="dxa"/>
            <w:vAlign w:val="bottom"/>
            <w:gridSpan w:val="4"/>
          </w:tcPr>
          <w:p>
            <w:pPr>
              <w:spacing w:after="0"/>
              <w:rPr>
                <w:sz w:val="17"/>
                <w:szCs w:val="17"/>
                <w:color w:val="auto"/>
              </w:rPr>
            </w:pPr>
          </w:p>
        </w:tc>
      </w:tr>
      <w:tr>
        <w:trPr>
          <w:trHeight w:val="3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w:t>
            </w:r>
          </w:p>
        </w:tc>
      </w:tr>
      <w:tr>
        <w:trPr>
          <w:trHeight w:val="216"/>
        </w:trPr>
        <w:tc>
          <w:tcPr>
            <w:tcW w:w="1160" w:type="dxa"/>
            <w:vAlign w:val="bottom"/>
          </w:tcPr>
          <w:p>
            <w:pPr>
              <w:spacing w:after="0"/>
              <w:rPr>
                <w:sz w:val="18"/>
                <w:szCs w:val="18"/>
                <w:color w:val="auto"/>
              </w:rPr>
            </w:pP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appear in the Interactive Data File because XBRL tags are</w:t>
            </w:r>
          </w:p>
        </w:tc>
      </w:tr>
      <w:tr>
        <w:trPr>
          <w:trHeight w:val="234"/>
        </w:trPr>
        <w:tc>
          <w:tcPr>
            <w:tcW w:w="1160" w:type="dxa"/>
            <w:vAlign w:val="bottom"/>
          </w:tcPr>
          <w:p>
            <w:pPr>
              <w:spacing w:after="0"/>
              <w:rPr>
                <w:sz w:val="20"/>
                <w:szCs w:val="20"/>
                <w:color w:val="auto"/>
              </w:rPr>
            </w:pP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1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34"/>
        </w:trPr>
        <w:tc>
          <w:tcPr>
            <w:tcW w:w="1160" w:type="dxa"/>
            <w:vAlign w:val="bottom"/>
          </w:tcPr>
          <w:p>
            <w:pPr>
              <w:spacing w:after="0"/>
              <w:rPr>
                <w:sz w:val="20"/>
                <w:szCs w:val="20"/>
                <w:color w:val="auto"/>
              </w:rPr>
            </w:pP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31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34"/>
        </w:trPr>
        <w:tc>
          <w:tcPr>
            <w:tcW w:w="1160" w:type="dxa"/>
            <w:vAlign w:val="bottom"/>
          </w:tcPr>
          <w:p>
            <w:pPr>
              <w:spacing w:after="0"/>
              <w:rPr>
                <w:sz w:val="20"/>
                <w:szCs w:val="20"/>
                <w:color w:val="auto"/>
              </w:rPr>
            </w:pP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1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34"/>
        </w:trPr>
        <w:tc>
          <w:tcPr>
            <w:tcW w:w="1160" w:type="dxa"/>
            <w:vAlign w:val="bottom"/>
          </w:tcPr>
          <w:p>
            <w:pPr>
              <w:spacing w:after="0"/>
              <w:rPr>
                <w:sz w:val="20"/>
                <w:szCs w:val="20"/>
                <w:color w:val="auto"/>
              </w:rPr>
            </w:pP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103" w:lineRule="exact"/>
        <w:rPr>
          <w:sz w:val="20"/>
          <w:szCs w:val="20"/>
          <w:color w:val="auto"/>
        </w:rPr>
      </w:pPr>
    </w:p>
    <w:p>
      <w:pPr>
        <w:ind w:left="1160" w:right="5380" w:hanging="1152"/>
        <w:spacing w:after="0" w:line="282"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4230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firstLine="8"/>
        <w:spacing w:after="0" w:line="266" w:lineRule="auto"/>
        <w:tabs>
          <w:tab w:leader="none" w:pos="2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are not deemed filed with the SEC and are not to be incorporated by reference into any filing of SAB Biotherapeutics, Inc. under the Securities Act of 1933 or the Securities Exchange Act of 1934, whether made before or after the date of this Quarterly Report, irrespective of any general incorporation language contained in such filing.</w:t>
      </w:r>
    </w:p>
    <w:p>
      <w:pPr>
        <w:spacing w:after="0" w:line="17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5" w:right="599" w:bottom="144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3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SAB BIOTHERAPEUTICS, INC.</w:t>
            </w: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November 5, 2026</w:t>
            </w:r>
          </w:p>
        </w:tc>
        <w:tc>
          <w:tcPr>
            <w:tcW w:w="20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Samuel J. Reich</w:t>
            </w:r>
          </w:p>
        </w:tc>
      </w:tr>
      <w:tr>
        <w:trPr>
          <w:trHeight w:val="187"/>
        </w:trPr>
        <w:tc>
          <w:tcPr>
            <w:tcW w:w="7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2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Samuel J. Reich</w:t>
            </w:r>
          </w:p>
        </w:tc>
      </w:tr>
      <w:tr>
        <w:trPr>
          <w:trHeight w:val="214"/>
        </w:trPr>
        <w:tc>
          <w:tcPr>
            <w:tcW w:w="7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190"/>
        </w:trPr>
        <w:tc>
          <w:tcPr>
            <w:tcW w:w="7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tc>
      </w:tr>
      <w:tr>
        <w:trPr>
          <w:trHeight w:val="415"/>
        </w:trPr>
        <w:tc>
          <w:tcPr>
            <w:tcW w:w="7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Lucy To</w:t>
            </w:r>
          </w:p>
        </w:tc>
      </w:tr>
      <w:tr>
        <w:trPr>
          <w:trHeight w:val="187"/>
        </w:trPr>
        <w:tc>
          <w:tcPr>
            <w:tcW w:w="7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2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Lucy To</w:t>
            </w:r>
          </w:p>
        </w:tc>
      </w:tr>
      <w:tr>
        <w:trPr>
          <w:trHeight w:val="232"/>
        </w:trPr>
        <w:tc>
          <w:tcPr>
            <w:tcW w:w="7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bl>
    <w:p>
      <w:pPr>
        <w:ind w:left="6680"/>
        <w:spacing w:after="0"/>
        <w:rPr>
          <w:sz w:val="20"/>
          <w:szCs w:val="20"/>
          <w:color w:val="auto"/>
        </w:rPr>
      </w:pPr>
      <w:r>
        <w:rPr>
          <w:rFonts w:ascii="Times New Roman" w:cs="Times New Roman" w:eastAsia="Times New Roman" w:hAnsi="Times New Roman"/>
          <w:sz w:val="14"/>
          <w:szCs w:val="14"/>
          <w:b w:val="1"/>
          <w:bCs w:val="1"/>
          <w:color w:val="auto"/>
        </w:rPr>
        <w:t>(Principal Financial Officer and Principal Accounting Officer)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Samuel J. Reich, certify that:</w:t>
      </w:r>
    </w:p>
    <w:p>
      <w:pPr>
        <w:spacing w:after="0" w:line="117" w:lineRule="exact"/>
        <w:rPr>
          <w:sz w:val="20"/>
          <w:szCs w:val="20"/>
          <w:color w:val="auto"/>
        </w:rPr>
      </w:pPr>
    </w:p>
    <w:p>
      <w:pPr>
        <w:ind w:left="1360" w:hanging="1350"/>
        <w:spacing w:after="0"/>
        <w:tabs>
          <w:tab w:leader="none" w:pos="1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SAB Biotherapeutics, Inc.;</w:t>
      </w:r>
    </w:p>
    <w:p>
      <w:pPr>
        <w:spacing w:after="0" w:line="225" w:lineRule="exact"/>
        <w:rPr>
          <w:rFonts w:ascii="Times New Roman" w:cs="Times New Roman" w:eastAsia="Times New Roman" w:hAnsi="Times New Roman"/>
          <w:sz w:val="18"/>
          <w:szCs w:val="18"/>
          <w:color w:val="auto"/>
        </w:rPr>
      </w:pPr>
    </w:p>
    <w:p>
      <w:pPr>
        <w:ind w:left="1360" w:right="200" w:hanging="1350"/>
        <w:spacing w:after="0" w:line="266" w:lineRule="auto"/>
        <w:tabs>
          <w:tab w:leader="none" w:pos="1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60" w:right="160" w:hanging="1350"/>
        <w:spacing w:after="0" w:line="312" w:lineRule="auto"/>
        <w:tabs>
          <w:tab w:leader="none" w:pos="13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360" w:right="360" w:hanging="1350"/>
        <w:spacing w:after="0" w:line="266" w:lineRule="auto"/>
        <w:tabs>
          <w:tab w:leader="none" w:pos="1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720" w:right="160" w:hanging="1360"/>
        <w:spacing w:after="0" w:line="261" w:lineRule="auto"/>
        <w:tabs>
          <w:tab w:leader="none" w:pos="27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2720" w:right="140" w:hanging="1360"/>
        <w:spacing w:after="0" w:line="261" w:lineRule="auto"/>
        <w:tabs>
          <w:tab w:leader="none" w:pos="27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2720" w:right="180" w:hanging="1360"/>
        <w:spacing w:after="0" w:line="266" w:lineRule="auto"/>
        <w:tabs>
          <w:tab w:leader="none" w:pos="27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720" w:right="300" w:hanging="1360"/>
        <w:spacing w:after="0" w:line="261" w:lineRule="auto"/>
        <w:tabs>
          <w:tab w:leader="none" w:pos="27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1360" w:right="300" w:hanging="1350"/>
        <w:spacing w:after="0" w:line="266" w:lineRule="auto"/>
        <w:tabs>
          <w:tab w:leader="none" w:pos="1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720" w:right="360" w:hanging="1360"/>
        <w:spacing w:after="0" w:line="266" w:lineRule="auto"/>
        <w:tabs>
          <w:tab w:leader="none" w:pos="27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720" w:right="180" w:hanging="1360"/>
        <w:spacing w:after="0" w:line="282" w:lineRule="auto"/>
        <w:tabs>
          <w:tab w:leader="none" w:pos="27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5560" w:val="left"/>
          <w:tab w:leader="none" w:pos="780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Samuel J. 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18415</wp:posOffset>
            </wp:positionV>
            <wp:extent cx="330898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4"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Samuel J. Reich</w:t>
      </w:r>
    </w:p>
    <w:p>
      <w:pPr>
        <w:spacing w:after="0" w:line="36"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Lucy To, certify that:</w:t>
      </w:r>
    </w:p>
    <w:p>
      <w:pPr>
        <w:spacing w:after="0" w:line="117" w:lineRule="exact"/>
        <w:rPr>
          <w:sz w:val="20"/>
          <w:szCs w:val="20"/>
          <w:color w:val="auto"/>
        </w:rPr>
      </w:pPr>
    </w:p>
    <w:p>
      <w:pPr>
        <w:ind w:left="1360" w:hanging="1350"/>
        <w:spacing w:after="0"/>
        <w:tabs>
          <w:tab w:leader="none" w:pos="1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SAB Biotherapeutics, Inc.;</w:t>
      </w:r>
    </w:p>
    <w:p>
      <w:pPr>
        <w:spacing w:after="0" w:line="225" w:lineRule="exact"/>
        <w:rPr>
          <w:rFonts w:ascii="Times New Roman" w:cs="Times New Roman" w:eastAsia="Times New Roman" w:hAnsi="Times New Roman"/>
          <w:sz w:val="18"/>
          <w:szCs w:val="18"/>
          <w:color w:val="auto"/>
        </w:rPr>
      </w:pPr>
    </w:p>
    <w:p>
      <w:pPr>
        <w:ind w:left="1360" w:right="200" w:hanging="1350"/>
        <w:spacing w:after="0" w:line="266" w:lineRule="auto"/>
        <w:tabs>
          <w:tab w:leader="none" w:pos="1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60" w:right="160" w:hanging="1350"/>
        <w:spacing w:after="0" w:line="312" w:lineRule="auto"/>
        <w:tabs>
          <w:tab w:leader="none" w:pos="13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360" w:right="360" w:hanging="1350"/>
        <w:spacing w:after="0" w:line="266" w:lineRule="auto"/>
        <w:tabs>
          <w:tab w:leader="none" w:pos="1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720" w:right="160" w:hanging="1360"/>
        <w:spacing w:after="0" w:line="261" w:lineRule="auto"/>
        <w:tabs>
          <w:tab w:leader="none" w:pos="27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2720" w:right="140" w:hanging="1360"/>
        <w:spacing w:after="0" w:line="261" w:lineRule="auto"/>
        <w:tabs>
          <w:tab w:leader="none" w:pos="27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2720" w:right="180" w:hanging="1360"/>
        <w:spacing w:after="0" w:line="266" w:lineRule="auto"/>
        <w:tabs>
          <w:tab w:leader="none" w:pos="27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720" w:right="300" w:hanging="1360"/>
        <w:spacing w:after="0" w:line="261" w:lineRule="auto"/>
        <w:tabs>
          <w:tab w:leader="none" w:pos="27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1360" w:right="300" w:hanging="1350"/>
        <w:spacing w:after="0" w:line="266" w:lineRule="auto"/>
        <w:tabs>
          <w:tab w:leader="none" w:pos="1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720" w:right="360" w:hanging="1360"/>
        <w:spacing w:after="0" w:line="266" w:lineRule="auto"/>
        <w:tabs>
          <w:tab w:leader="none" w:pos="27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720" w:right="180" w:hanging="1360"/>
        <w:spacing w:after="0" w:line="282" w:lineRule="auto"/>
        <w:tabs>
          <w:tab w:leader="none" w:pos="27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5560" w:val="left"/>
          <w:tab w:leader="none" w:pos="808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Lucy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18415</wp:posOffset>
            </wp:positionV>
            <wp:extent cx="330898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8"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Lucy To</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SAB Biotherapeutics, Inc. (the “Company”) on Form 10-Q for the period ending September 30, 2026 as filed with the Securities and Exchange Commission on the date hereof (the “Report”), I certify, pursuant to 18 U.S.C. § 1350, as adopted pursuant to § 906 of the Sarbanes-Oxley Act of 2002, that:</w:t>
      </w:r>
    </w:p>
    <w:p>
      <w:pPr>
        <w:sectPr>
          <w:pgSz w:w="11900" w:h="16838" w:orient="portrait"/>
          <w:cols w:equalWidth="0" w:num="1">
            <w:col w:w="11240"/>
          </w:cols>
          <w:pgMar w:left="320" w:top="968" w:right="339" w:bottom="1440" w:gutter="0" w:footer="0" w:header="0"/>
        </w:sectPr>
      </w:pP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86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Samuel J. 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2023745</wp:posOffset>
            </wp:positionH>
            <wp:positionV relativeFrom="paragraph">
              <wp:posOffset>18415</wp:posOffset>
            </wp:positionV>
            <wp:extent cx="330898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Samuel J. Reich</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747395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000" w:space="720"/>
            <w:col w:w="8520"/>
          </w:cols>
          <w:pgMar w:left="320" w:top="968" w:right="339" w:bottom="1440" w:gutter="0" w:footer="0" w:header="0"/>
          <w:type w:val="continuous"/>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SAB Biotherapeutics, Inc. (the “Company”) on Form 10-Q for the period ending September 30, 2026 as filed with the Securities and Exchange Commission on the date hereof (the “Report”), I certify, pursuant to 18 U.S.C. § 1350, as adopted pursuant to § 906 of the Sarbanes-Oxley Act of 2002, that:</w:t>
      </w:r>
    </w:p>
    <w:p>
      <w:pPr>
        <w:sectPr>
          <w:pgSz w:w="11900" w:h="16838" w:orient="portrait"/>
          <w:cols w:equalWidth="0" w:num="1">
            <w:col w:w="11240"/>
          </w:cols>
          <w:pgMar w:left="320" w:top="981" w:right="339" w:bottom="1440" w:gutter="0" w:footer="0" w:header="0"/>
        </w:sectPr>
      </w:pP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860"/>
        <w:spacing w:after="0"/>
        <w:tabs>
          <w:tab w:leader="none" w:pos="5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Lucy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2023745</wp:posOffset>
            </wp:positionH>
            <wp:positionV relativeFrom="paragraph">
              <wp:posOffset>18415</wp:posOffset>
            </wp:positionV>
            <wp:extent cx="330898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Lucy To</w:t>
      </w:r>
    </w:p>
    <w:p>
      <w:pPr>
        <w:spacing w:after="0" w:line="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884555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000" w:space="720"/>
            <w:col w:w="8520"/>
          </w:cols>
          <w:pgMar w:left="320" w:top="981" w:right="339" w:bottom="1440" w:gutter="0" w:footer="0" w:header="0"/>
          <w:type w:val="continuous"/>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lvl w:ilvl="1">
      <w:lvlJc w:val="left"/>
      <w:lvlText w:val="(%2)"/>
      <w:numFmt w:val="decimal"/>
      <w:start w:val="1"/>
    </w:lvl>
  </w:abstractNum>
  <w:abstractNum w:abstractNumId="7">
    <w:nsid w:val="4DB127F8"/>
    <w:multiLevelType w:val="hybridMultilevel"/>
    <w:lvl w:ilvl="0">
      <w:lvlJc w:val="left"/>
      <w:lvlText w:val="(%1)"/>
      <w:numFmt w:val="decimal"/>
      <w:start w:val="11"/>
    </w:lvl>
    <w:lvl w:ilvl="1">
      <w:lvlJc w:val="left"/>
      <w:lvlText w:val="%2"/>
      <w:numFmt w:val="decimal"/>
      <w:start w:val="1"/>
    </w:lvl>
  </w:abstractNum>
  <w:abstractNum w:abstractNumId="8">
    <w:nsid w:val="216231B"/>
    <w:multiLevelType w:val="hybridMultilevel"/>
    <w:lvl w:ilvl="0">
      <w:lvlJc w:val="left"/>
      <w:lvlText w:val="%1"/>
      <w:numFmt w:val="decimal"/>
      <w:start w:val="104"/>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2026-11-05T06:39:34Z</dcterms:created>
  <dcterms:modified xsi:type="dcterms:W3CDTF">2026-11-05T06:39:34Z</dcterms:modified>
</cp:coreProperties>
</file>