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February 1, 2022</w:t>
      </w:r>
    </w:p>
    <w:p>
      <w:pPr>
        <w:spacing w:after="0" w:line="22" w:lineRule="exact"/>
        <w:rPr>
          <w:sz w:val="24"/>
          <w:szCs w:val="24"/>
          <w:color w:val="auto"/>
        </w:rPr>
      </w:pPr>
    </w:p>
    <w:p>
      <w:pPr>
        <w:ind w:left="8100"/>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60325</wp:posOffset>
            </wp:positionV>
            <wp:extent cx="65398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986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100330</wp:posOffset>
            </wp:positionV>
            <wp:extent cx="65398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986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216535</wp:posOffset>
            </wp:positionV>
            <wp:extent cx="1370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033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S-8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REGISTRATION STATEMENT</w:t>
      </w:r>
    </w:p>
    <w:p>
      <w:pPr>
        <w:jc w:val="center"/>
        <w:spacing w:after="0" w:line="237" w:lineRule="auto"/>
        <w:rPr>
          <w:sz w:val="20"/>
          <w:szCs w:val="20"/>
          <w:color w:val="auto"/>
        </w:rPr>
      </w:pPr>
      <w:r>
        <w:rPr>
          <w:rFonts w:ascii="Arial" w:cs="Arial" w:eastAsia="Arial" w:hAnsi="Arial"/>
          <w:sz w:val="20"/>
          <w:szCs w:val="20"/>
          <w:b w:val="1"/>
          <w:bCs w:val="1"/>
          <w:i w:val="1"/>
          <w:iCs w:val="1"/>
          <w:color w:val="auto"/>
        </w:rPr>
        <w:t>Under</w:t>
      </w:r>
    </w:p>
    <w:p>
      <w:pPr>
        <w:jc w:val="center"/>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208915</wp:posOffset>
            </wp:positionV>
            <wp:extent cx="1370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0330" cy="8255"/>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SAB Biotherapeutics,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211455</wp:posOffset>
            </wp:positionV>
            <wp:extent cx="1370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033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tbl>
      <w:tblPr>
        <w:tblLayout w:type="fixed"/>
        <w:tblInd w:w="1440" w:type="dxa"/>
        <w:tblCellMar>
          <w:top w:w="0" w:type="dxa"/>
          <w:left w:w="0" w:type="dxa"/>
          <w:bottom w:w="0" w:type="dxa"/>
          <w:right w:w="0" w:type="dxa"/>
        </w:tblCellMar>
      </w:tblPr>
      <w:tr>
        <w:trPr>
          <w:trHeight w:val="198"/>
        </w:trPr>
        <w:tc>
          <w:tcPr>
            <w:tcW w:w="4060" w:type="dxa"/>
            <w:vAlign w:val="bottom"/>
          </w:tcPr>
          <w:p>
            <w:pPr>
              <w:jc w:val="center"/>
              <w:ind w:right="1664"/>
              <w:spacing w:after="0"/>
              <w:rPr>
                <w:sz w:val="20"/>
                <w:szCs w:val="20"/>
                <w:color w:val="auto"/>
              </w:rPr>
            </w:pPr>
            <w:r>
              <w:rPr>
                <w:rFonts w:ascii="Arial" w:cs="Arial" w:eastAsia="Arial" w:hAnsi="Arial"/>
                <w:sz w:val="17"/>
                <w:szCs w:val="17"/>
                <w:b w:val="1"/>
                <w:bCs w:val="1"/>
                <w:color w:val="auto"/>
                <w:w w:val="91"/>
              </w:rPr>
              <w:t>Delaware</w:t>
            </w:r>
          </w:p>
        </w:tc>
        <w:tc>
          <w:tcPr>
            <w:tcW w:w="2820" w:type="dxa"/>
            <w:vAlign w:val="bottom"/>
          </w:tcPr>
          <w:p>
            <w:pPr>
              <w:jc w:val="right"/>
              <w:ind w:right="46"/>
              <w:spacing w:after="0"/>
              <w:rPr>
                <w:sz w:val="20"/>
                <w:szCs w:val="20"/>
                <w:color w:val="auto"/>
              </w:rPr>
            </w:pPr>
            <w:r>
              <w:rPr>
                <w:rFonts w:ascii="Arial" w:cs="Arial" w:eastAsia="Arial" w:hAnsi="Arial"/>
                <w:sz w:val="17"/>
                <w:szCs w:val="17"/>
                <w:b w:val="1"/>
                <w:bCs w:val="1"/>
                <w:color w:val="auto"/>
              </w:rPr>
              <w:t>85-3899721</w:t>
            </w:r>
          </w:p>
        </w:tc>
      </w:tr>
      <w:tr>
        <w:trPr>
          <w:trHeight w:val="139"/>
        </w:trPr>
        <w:tc>
          <w:tcPr>
            <w:tcW w:w="4060" w:type="dxa"/>
            <w:vAlign w:val="bottom"/>
          </w:tcPr>
          <w:p>
            <w:pPr>
              <w:jc w:val="center"/>
              <w:ind w:right="1664"/>
              <w:spacing w:after="0" w:line="139" w:lineRule="exact"/>
              <w:rPr>
                <w:sz w:val="20"/>
                <w:szCs w:val="20"/>
                <w:color w:val="auto"/>
              </w:rPr>
            </w:pPr>
            <w:r>
              <w:rPr>
                <w:rFonts w:ascii="Arial" w:cs="Arial" w:eastAsia="Arial" w:hAnsi="Arial"/>
                <w:sz w:val="13"/>
                <w:szCs w:val="13"/>
                <w:b w:val="1"/>
                <w:bCs w:val="1"/>
                <w:color w:val="auto"/>
                <w:w w:val="94"/>
              </w:rPr>
              <w:t>(State or other jurisdiction of</w:t>
            </w:r>
          </w:p>
        </w:tc>
        <w:tc>
          <w:tcPr>
            <w:tcW w:w="2820" w:type="dxa"/>
            <w:vAlign w:val="bottom"/>
          </w:tcPr>
          <w:p>
            <w:pPr>
              <w:jc w:val="center"/>
              <w:ind w:left="1686"/>
              <w:spacing w:after="0" w:line="139"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4060" w:type="dxa"/>
            <w:vAlign w:val="bottom"/>
          </w:tcPr>
          <w:p>
            <w:pPr>
              <w:jc w:val="center"/>
              <w:ind w:right="1664"/>
              <w:spacing w:after="0"/>
              <w:rPr>
                <w:sz w:val="20"/>
                <w:szCs w:val="20"/>
                <w:color w:val="auto"/>
              </w:rPr>
            </w:pPr>
            <w:r>
              <w:rPr>
                <w:rFonts w:ascii="Arial" w:cs="Arial" w:eastAsia="Arial" w:hAnsi="Arial"/>
                <w:sz w:val="13"/>
                <w:szCs w:val="13"/>
                <w:b w:val="1"/>
                <w:bCs w:val="1"/>
                <w:color w:val="auto"/>
                <w:w w:val="94"/>
              </w:rPr>
              <w:t>incorporation or organization)</w:t>
            </w:r>
          </w:p>
        </w:tc>
        <w:tc>
          <w:tcPr>
            <w:tcW w:w="2820" w:type="dxa"/>
            <w:vAlign w:val="bottom"/>
          </w:tcPr>
          <w:p>
            <w:pPr>
              <w:jc w:val="center"/>
              <w:ind w:left="1686"/>
              <w:spacing w:after="0"/>
              <w:rPr>
                <w:sz w:val="20"/>
                <w:szCs w:val="20"/>
                <w:color w:val="auto"/>
              </w:rPr>
            </w:pPr>
            <w:r>
              <w:rPr>
                <w:rFonts w:ascii="Arial" w:cs="Arial" w:eastAsia="Arial" w:hAnsi="Arial"/>
                <w:sz w:val="13"/>
                <w:szCs w:val="13"/>
                <w:b w:val="1"/>
                <w:bCs w:val="1"/>
                <w:color w:val="auto"/>
                <w:w w:val="96"/>
              </w:rPr>
              <w:t>Identification No.)</w:t>
            </w:r>
          </w:p>
        </w:tc>
      </w:tr>
      <w:tr>
        <w:trPr>
          <w:trHeight w:val="398"/>
        </w:trPr>
        <w:tc>
          <w:tcPr>
            <w:tcW w:w="4060" w:type="dxa"/>
            <w:vAlign w:val="bottom"/>
          </w:tcPr>
          <w:p>
            <w:pPr>
              <w:jc w:val="center"/>
              <w:ind w:right="1664"/>
              <w:spacing w:after="0"/>
              <w:rPr>
                <w:sz w:val="20"/>
                <w:szCs w:val="20"/>
                <w:color w:val="auto"/>
              </w:rPr>
            </w:pPr>
            <w:r>
              <w:rPr>
                <w:rFonts w:ascii="Arial" w:cs="Arial" w:eastAsia="Arial" w:hAnsi="Arial"/>
                <w:sz w:val="17"/>
                <w:szCs w:val="17"/>
                <w:b w:val="1"/>
                <w:bCs w:val="1"/>
                <w:color w:val="auto"/>
                <w:w w:val="90"/>
              </w:rPr>
              <w:t>2100 East 54th Street North</w:t>
            </w:r>
          </w:p>
        </w:tc>
        <w:tc>
          <w:tcPr>
            <w:tcW w:w="2820" w:type="dxa"/>
            <w:vAlign w:val="bottom"/>
          </w:tcPr>
          <w:p>
            <w:pPr>
              <w:spacing w:after="0"/>
              <w:rPr>
                <w:sz w:val="24"/>
                <w:szCs w:val="24"/>
                <w:color w:val="auto"/>
              </w:rPr>
            </w:pPr>
          </w:p>
        </w:tc>
      </w:tr>
      <w:tr>
        <w:trPr>
          <w:trHeight w:val="198"/>
        </w:trPr>
        <w:tc>
          <w:tcPr>
            <w:tcW w:w="4060" w:type="dxa"/>
            <w:vAlign w:val="bottom"/>
          </w:tcPr>
          <w:p>
            <w:pPr>
              <w:jc w:val="center"/>
              <w:ind w:right="1684"/>
              <w:spacing w:after="0"/>
              <w:rPr>
                <w:sz w:val="20"/>
                <w:szCs w:val="20"/>
                <w:color w:val="auto"/>
              </w:rPr>
            </w:pPr>
            <w:r>
              <w:rPr>
                <w:rFonts w:ascii="Arial" w:cs="Arial" w:eastAsia="Arial" w:hAnsi="Arial"/>
                <w:sz w:val="17"/>
                <w:szCs w:val="17"/>
                <w:b w:val="1"/>
                <w:bCs w:val="1"/>
                <w:color w:val="auto"/>
                <w:w w:val="89"/>
              </w:rPr>
              <w:t>Sioux Falls, South Dakota</w:t>
            </w:r>
          </w:p>
        </w:tc>
        <w:tc>
          <w:tcPr>
            <w:tcW w:w="2820" w:type="dxa"/>
            <w:vAlign w:val="bottom"/>
          </w:tcPr>
          <w:p>
            <w:pPr>
              <w:jc w:val="right"/>
              <w:ind w:right="246"/>
              <w:spacing w:after="0"/>
              <w:rPr>
                <w:sz w:val="20"/>
                <w:szCs w:val="20"/>
                <w:color w:val="auto"/>
              </w:rPr>
            </w:pPr>
            <w:r>
              <w:rPr>
                <w:rFonts w:ascii="Arial" w:cs="Arial" w:eastAsia="Arial" w:hAnsi="Arial"/>
                <w:sz w:val="17"/>
                <w:szCs w:val="17"/>
                <w:b w:val="1"/>
                <w:bCs w:val="1"/>
                <w:color w:val="auto"/>
              </w:rPr>
              <w:t>57104</w:t>
            </w:r>
          </w:p>
        </w:tc>
      </w:tr>
      <w:tr>
        <w:trPr>
          <w:trHeight w:val="174"/>
        </w:trPr>
        <w:tc>
          <w:tcPr>
            <w:tcW w:w="4060" w:type="dxa"/>
            <w:vAlign w:val="bottom"/>
          </w:tcPr>
          <w:p>
            <w:pPr>
              <w:jc w:val="center"/>
              <w:ind w:right="1684"/>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820" w:type="dxa"/>
            <w:vAlign w:val="bottom"/>
          </w:tcPr>
          <w:p>
            <w:pPr>
              <w:jc w:val="center"/>
              <w:ind w:left="1686"/>
              <w:spacing w:after="0"/>
              <w:rPr>
                <w:sz w:val="20"/>
                <w:szCs w:val="20"/>
                <w:color w:val="auto"/>
              </w:rPr>
            </w:pPr>
            <w:r>
              <w:rPr>
                <w:rFonts w:ascii="Arial" w:cs="Arial" w:eastAsia="Arial" w:hAnsi="Arial"/>
                <w:sz w:val="13"/>
                <w:szCs w:val="13"/>
                <w:b w:val="1"/>
                <w:bCs w:val="1"/>
                <w:color w:val="auto"/>
                <w:w w:val="96"/>
              </w:rPr>
              <w:t>(Zip Code)</w:t>
            </w:r>
          </w:p>
        </w:tc>
      </w:tr>
    </w:tbl>
    <w:p>
      <w:pPr>
        <w:spacing w:after="0" w:line="171" w:lineRule="exact"/>
        <w:rPr>
          <w:sz w:val="24"/>
          <w:szCs w:val="24"/>
          <w:color w:val="auto"/>
        </w:rPr>
      </w:pPr>
    </w:p>
    <w:p>
      <w:pPr>
        <w:ind w:left="2880"/>
        <w:spacing w:after="0"/>
        <w:rPr>
          <w:sz w:val="20"/>
          <w:szCs w:val="20"/>
          <w:color w:val="auto"/>
        </w:rPr>
      </w:pPr>
      <w:r>
        <w:rPr>
          <w:rFonts w:ascii="Arial" w:cs="Arial" w:eastAsia="Arial" w:hAnsi="Arial"/>
          <w:sz w:val="17"/>
          <w:szCs w:val="17"/>
          <w:b w:val="1"/>
          <w:bCs w:val="1"/>
          <w:color w:val="auto"/>
        </w:rPr>
        <w:t>SAB Biotherapeutics, Inc. 2021 Omnibus Equity Incentive Plan</w:t>
      </w:r>
    </w:p>
    <w:p>
      <w:pPr>
        <w:spacing w:after="0" w:line="22" w:lineRule="exact"/>
        <w:rPr>
          <w:sz w:val="24"/>
          <w:szCs w:val="24"/>
          <w:color w:val="auto"/>
        </w:rPr>
      </w:pPr>
    </w:p>
    <w:p>
      <w:pPr>
        <w:ind w:left="2900"/>
        <w:spacing w:after="0"/>
        <w:rPr>
          <w:sz w:val="20"/>
          <w:szCs w:val="20"/>
          <w:color w:val="auto"/>
        </w:rPr>
      </w:pPr>
      <w:r>
        <w:rPr>
          <w:rFonts w:ascii="Arial" w:cs="Arial" w:eastAsia="Arial" w:hAnsi="Arial"/>
          <w:sz w:val="17"/>
          <w:szCs w:val="17"/>
          <w:b w:val="1"/>
          <w:bCs w:val="1"/>
          <w:color w:val="auto"/>
        </w:rPr>
        <w:t>SAB Biotherapeutics, Inc. 2021 Employee Stock Purchase Plan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205740</wp:posOffset>
            </wp:positionV>
            <wp:extent cx="1370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033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Eddie J. Sullivan,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Chief Executive Officer</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SAB Biotherapeutics,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2100 East 54th Street North</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Sioux Falls, South Dakota 57104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and address of agent for service)</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(606) 769-6980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213360</wp:posOffset>
            </wp:positionV>
            <wp:extent cx="1370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033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Copies to:</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Ilan Katz, Esq.</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Brian Lee, Esq.</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Dentons US LLP</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1221 Avenue of the Americas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New York, New York 10020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Tel: (212) 768-6700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212725</wp:posOffset>
            </wp:positionV>
            <wp:extent cx="1370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033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right="120"/>
        <w:spacing w:after="0" w:line="25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64"/>
        </w:trPr>
        <w:tc>
          <w:tcPr>
            <w:tcW w:w="1680" w:type="dxa"/>
            <w:vAlign w:val="bottom"/>
          </w:tcPr>
          <w:p>
            <w:pPr>
              <w:spacing w:after="0"/>
              <w:rPr>
                <w:sz w:val="20"/>
                <w:szCs w:val="20"/>
                <w:color w:val="auto"/>
              </w:rPr>
            </w:pPr>
            <w:r>
              <w:rPr>
                <w:rFonts w:ascii="Arial" w:cs="Arial" w:eastAsia="Arial" w:hAnsi="Arial"/>
                <w:sz w:val="17"/>
                <w:szCs w:val="17"/>
                <w:color w:val="auto"/>
                <w:w w:val="98"/>
              </w:rPr>
              <w:t>Large accelerated filer</w:t>
            </w:r>
          </w:p>
        </w:tc>
        <w:tc>
          <w:tcPr>
            <w:tcW w:w="330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4960" w:type="dxa"/>
            <w:vAlign w:val="bottom"/>
          </w:tcPr>
          <w:p>
            <w:pPr>
              <w:ind w:left="2960"/>
              <w:spacing w:after="0"/>
              <w:rPr>
                <w:sz w:val="20"/>
                <w:szCs w:val="20"/>
                <w:color w:val="auto"/>
              </w:rPr>
            </w:pPr>
            <w:r>
              <w:rPr>
                <w:rFonts w:ascii="Arial" w:cs="Arial" w:eastAsia="Arial" w:hAnsi="Arial"/>
                <w:sz w:val="17"/>
                <w:szCs w:val="17"/>
                <w:color w:val="auto"/>
              </w:rPr>
              <w:t>Accelerated filer</w:t>
            </w:r>
          </w:p>
        </w:tc>
        <w:tc>
          <w:tcPr>
            <w:tcW w:w="3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03"/>
        </w:trPr>
        <w:tc>
          <w:tcPr>
            <w:tcW w:w="1680" w:type="dxa"/>
            <w:vAlign w:val="bottom"/>
          </w:tcPr>
          <w:p>
            <w:pPr>
              <w:spacing w:after="0"/>
              <w:rPr>
                <w:sz w:val="20"/>
                <w:szCs w:val="20"/>
                <w:color w:val="auto"/>
              </w:rPr>
            </w:pPr>
            <w:r>
              <w:rPr>
                <w:rFonts w:ascii="Arial" w:cs="Arial" w:eastAsia="Arial" w:hAnsi="Arial"/>
                <w:sz w:val="17"/>
                <w:szCs w:val="17"/>
                <w:color w:val="auto"/>
              </w:rPr>
              <w:t>Non-accelerated filer</w:t>
            </w:r>
          </w:p>
        </w:tc>
        <w:tc>
          <w:tcPr>
            <w:tcW w:w="330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4960" w:type="dxa"/>
            <w:vAlign w:val="bottom"/>
          </w:tcPr>
          <w:p>
            <w:pPr>
              <w:ind w:left="2960"/>
              <w:spacing w:after="0"/>
              <w:rPr>
                <w:sz w:val="20"/>
                <w:szCs w:val="20"/>
                <w:color w:val="auto"/>
              </w:rPr>
            </w:pPr>
            <w:r>
              <w:rPr>
                <w:rFonts w:ascii="Arial" w:cs="Arial" w:eastAsia="Arial" w:hAnsi="Arial"/>
                <w:sz w:val="17"/>
                <w:szCs w:val="17"/>
                <w:color w:val="auto"/>
                <w:w w:val="97"/>
              </w:rPr>
              <w:t>Smaller reporting company</w:t>
            </w:r>
          </w:p>
        </w:tc>
        <w:tc>
          <w:tcPr>
            <w:tcW w:w="3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03"/>
        </w:trPr>
        <w:tc>
          <w:tcPr>
            <w:tcW w:w="1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960" w:type="dxa"/>
            <w:vAlign w:val="bottom"/>
          </w:tcPr>
          <w:p>
            <w:pPr>
              <w:ind w:left="2960"/>
              <w:spacing w:after="0"/>
              <w:rPr>
                <w:sz w:val="20"/>
                <w:szCs w:val="20"/>
                <w:color w:val="auto"/>
              </w:rPr>
            </w:pPr>
            <w:r>
              <w:rPr>
                <w:rFonts w:ascii="Arial" w:cs="Arial" w:eastAsia="Arial" w:hAnsi="Arial"/>
                <w:sz w:val="17"/>
                <w:szCs w:val="17"/>
                <w:color w:val="auto"/>
                <w:w w:val="97"/>
              </w:rPr>
              <w:t>Emerging growth company</w:t>
            </w:r>
          </w:p>
        </w:tc>
        <w:tc>
          <w:tcPr>
            <w:tcW w:w="3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72" w:lineRule="exact"/>
        <w:rPr>
          <w:sz w:val="24"/>
          <w:szCs w:val="24"/>
          <w:color w:val="auto"/>
        </w:rPr>
      </w:pPr>
    </w:p>
    <w:p>
      <w:pPr>
        <w:ind w:right="280"/>
        <w:spacing w:after="0" w:line="21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197485</wp:posOffset>
            </wp:positionV>
            <wp:extent cx="1370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033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CALCULATION OF REGISTRATION FEE</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54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4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44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b w:val="1"/>
                <w:bCs w:val="1"/>
                <w:color w:val="auto"/>
              </w:rPr>
              <w:t>Proposed</w:t>
            </w:r>
          </w:p>
        </w:tc>
        <w:tc>
          <w:tcPr>
            <w:tcW w:w="144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b w:val="1"/>
                <w:bCs w:val="1"/>
                <w:color w:val="auto"/>
              </w:rPr>
              <w:t>Proposed</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1"/>
              </w:rPr>
              <w:t>Title of securities</w:t>
            </w:r>
          </w:p>
        </w:tc>
        <w:tc>
          <w:tcPr>
            <w:tcW w:w="144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5"/>
              </w:rPr>
              <w:t>maximum</w:t>
            </w:r>
          </w:p>
        </w:tc>
        <w:tc>
          <w:tcPr>
            <w:tcW w:w="144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5"/>
              </w:rPr>
              <w:t>maximum</w:t>
            </w:r>
          </w:p>
        </w:tc>
        <w:tc>
          <w:tcPr>
            <w:tcW w:w="1420" w:type="dxa"/>
            <w:vAlign w:val="bottom"/>
            <w:vMerge w:val="restart"/>
          </w:tcPr>
          <w:p>
            <w:pPr>
              <w:jc w:val="center"/>
              <w:ind w:left="7"/>
              <w:spacing w:after="0"/>
              <w:rPr>
                <w:sz w:val="20"/>
                <w:szCs w:val="20"/>
                <w:color w:val="auto"/>
              </w:rPr>
            </w:pPr>
            <w:r>
              <w:rPr>
                <w:rFonts w:ascii="Arial" w:cs="Arial" w:eastAsia="Arial" w:hAnsi="Arial"/>
                <w:sz w:val="13"/>
                <w:szCs w:val="13"/>
                <w:b w:val="1"/>
                <w:bCs w:val="1"/>
                <w:color w:val="auto"/>
                <w:w w:val="95"/>
              </w:rPr>
              <w:t>Amount of</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4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89"/>
              </w:rPr>
              <w:t>to be</w:t>
            </w:r>
          </w:p>
        </w:tc>
        <w:tc>
          <w:tcPr>
            <w:tcW w:w="144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3"/>
              </w:rPr>
              <w:t>offering price</w:t>
            </w:r>
          </w:p>
        </w:tc>
        <w:tc>
          <w:tcPr>
            <w:tcW w:w="144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0"/>
              </w:rPr>
              <w:t>aggregate</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to be registered</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registered</w:t>
            </w:r>
            <w:r>
              <w:rPr>
                <w:rFonts w:ascii="Arial" w:cs="Arial" w:eastAsia="Arial" w:hAnsi="Arial"/>
                <w:sz w:val="11"/>
                <w:szCs w:val="11"/>
                <w:b w:val="1"/>
                <w:bCs w:val="1"/>
                <w:color w:val="auto"/>
                <w:w w:val="91"/>
              </w:rPr>
              <w:t>(1)</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per share</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offering price</w:t>
            </w:r>
          </w:p>
        </w:tc>
        <w:tc>
          <w:tcPr>
            <w:tcW w:w="1420" w:type="dxa"/>
            <w:vAlign w:val="bottom"/>
            <w:tcBorders>
              <w:bottom w:val="single" w:sz="8" w:color="auto"/>
            </w:tcBorders>
          </w:tcPr>
          <w:p>
            <w:pPr>
              <w:jc w:val="center"/>
              <w:ind w:left="7"/>
              <w:spacing w:after="0"/>
              <w:rPr>
                <w:sz w:val="20"/>
                <w:szCs w:val="20"/>
                <w:color w:val="auto"/>
              </w:rPr>
            </w:pPr>
            <w:r>
              <w:rPr>
                <w:rFonts w:ascii="Arial" w:cs="Arial" w:eastAsia="Arial" w:hAnsi="Arial"/>
                <w:sz w:val="13"/>
                <w:szCs w:val="13"/>
                <w:b w:val="1"/>
                <w:bCs w:val="1"/>
                <w:color w:val="auto"/>
                <w:w w:val="91"/>
              </w:rPr>
              <w:t>registration fee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40" w:type="dxa"/>
            <w:vAlign w:val="bottom"/>
            <w:tcBorders>
              <w:right w:val="single" w:sz="8" w:color="auto"/>
            </w:tcBorders>
          </w:tcPr>
          <w:p>
            <w:pPr>
              <w:spacing w:after="0" w:line="182" w:lineRule="exact"/>
              <w:rPr>
                <w:sz w:val="20"/>
                <w:szCs w:val="20"/>
                <w:color w:val="auto"/>
              </w:rPr>
            </w:pPr>
            <w:r>
              <w:rPr>
                <w:rFonts w:ascii="Arial" w:cs="Arial" w:eastAsia="Arial" w:hAnsi="Arial"/>
                <w:sz w:val="17"/>
                <w:szCs w:val="17"/>
                <w:b w:val="1"/>
                <w:bCs w:val="1"/>
                <w:color w:val="auto"/>
              </w:rPr>
              <w:t>2021 Omnibus Equity Incentive Plan</w:t>
            </w:r>
          </w:p>
        </w:tc>
        <w:tc>
          <w:tcPr>
            <w:tcW w:w="144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(common stock, par value $0.0001 per share)</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11,000,000</w:t>
            </w:r>
            <w:r>
              <w:rPr>
                <w:rFonts w:ascii="Arial" w:cs="Arial" w:eastAsia="Arial" w:hAnsi="Arial"/>
                <w:sz w:val="14"/>
                <w:szCs w:val="14"/>
                <w:color w:val="auto"/>
                <w:w w:val="89"/>
              </w:rPr>
              <w:t>(2)</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$4.93</w:t>
            </w:r>
            <w:r>
              <w:rPr>
                <w:rFonts w:ascii="Arial" w:cs="Arial" w:eastAsia="Arial" w:hAnsi="Arial"/>
                <w:sz w:val="14"/>
                <w:szCs w:val="14"/>
                <w:color w:val="auto"/>
                <w:w w:val="90"/>
              </w:rPr>
              <w:t>(3)</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$54,230,000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$5,027.12</w:t>
            </w:r>
          </w:p>
        </w:tc>
        <w:tc>
          <w:tcPr>
            <w:tcW w:w="0" w:type="dxa"/>
            <w:vAlign w:val="bottom"/>
          </w:tcPr>
          <w:p>
            <w:pPr>
              <w:spacing w:after="0"/>
              <w:rPr>
                <w:sz w:val="1"/>
                <w:szCs w:val="1"/>
                <w:color w:val="auto"/>
              </w:rPr>
            </w:pPr>
          </w:p>
        </w:tc>
      </w:tr>
    </w:tbl>
    <w:p>
      <w:pPr>
        <w:sectPr>
          <w:pgSz w:w="11900" w:h="16838" w:orient="portrait"/>
          <w:cols w:equalWidth="0" w:num="1">
            <w:col w:w="10300"/>
          </w:cols>
          <w:pgMar w:left="800" w:top="224" w:right="799" w:bottom="0" w:gutter="0" w:footer="0" w:header="0"/>
        </w:sectPr>
      </w:pPr>
    </w:p>
    <w:bookmarkStart w:id="1" w:name="page2"/>
    <w:bookmarkEnd w:id="1"/>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202"/>
        </w:trPr>
        <w:tc>
          <w:tcPr>
            <w:tcW w:w="456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2021 Employee Stock Purchase Plan</w:t>
            </w:r>
          </w:p>
        </w:tc>
        <w:tc>
          <w:tcPr>
            <w:tcW w:w="1440" w:type="dxa"/>
            <w:vAlign w:val="bottom"/>
            <w:tcBorders>
              <w:top w:val="single" w:sz="8" w:color="auto"/>
              <w:right w:val="single" w:sz="8" w:color="auto"/>
            </w:tcBorders>
          </w:tcPr>
          <w:p>
            <w:pPr>
              <w:spacing w:after="0"/>
              <w:rPr>
                <w:sz w:val="17"/>
                <w:szCs w:val="17"/>
                <w:color w:val="auto"/>
              </w:rPr>
            </w:pPr>
          </w:p>
        </w:tc>
        <w:tc>
          <w:tcPr>
            <w:tcW w:w="1440" w:type="dxa"/>
            <w:vAlign w:val="bottom"/>
            <w:tcBorders>
              <w:top w:val="single" w:sz="8" w:color="auto"/>
              <w:right w:val="single" w:sz="8" w:color="auto"/>
            </w:tcBorders>
          </w:tcPr>
          <w:p>
            <w:pPr>
              <w:spacing w:after="0"/>
              <w:rPr>
                <w:sz w:val="17"/>
                <w:szCs w:val="17"/>
                <w:color w:val="auto"/>
              </w:rPr>
            </w:pPr>
          </w:p>
        </w:tc>
        <w:tc>
          <w:tcPr>
            <w:tcW w:w="1440" w:type="dxa"/>
            <w:vAlign w:val="bottom"/>
            <w:tcBorders>
              <w:top w:val="single" w:sz="8" w:color="auto"/>
              <w:right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27"/>
        </w:trPr>
        <w:tc>
          <w:tcPr>
            <w:tcW w:w="4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(common stock, par value $0.0001 per share)</w:t>
            </w:r>
          </w:p>
        </w:tc>
        <w:tc>
          <w:tcPr>
            <w:tcW w:w="1440" w:type="dxa"/>
            <w:vAlign w:val="bottom"/>
            <w:tcBorders>
              <w:bottom w:val="single" w:sz="8" w:color="auto"/>
              <w:right w:val="single" w:sz="8" w:color="auto"/>
            </w:tcBorders>
          </w:tcPr>
          <w:p>
            <w:pPr>
              <w:jc w:val="center"/>
              <w:ind w:right="176"/>
              <w:spacing w:after="0"/>
              <w:rPr>
                <w:sz w:val="20"/>
                <w:szCs w:val="20"/>
                <w:color w:val="auto"/>
              </w:rPr>
            </w:pPr>
            <w:r>
              <w:rPr>
                <w:rFonts w:ascii="Arial" w:cs="Arial" w:eastAsia="Arial" w:hAnsi="Arial"/>
                <w:sz w:val="17"/>
                <w:szCs w:val="17"/>
                <w:color w:val="auto"/>
              </w:rPr>
              <w:t>1,000,000</w:t>
            </w:r>
            <w:r>
              <w:rPr>
                <w:rFonts w:ascii="Arial" w:cs="Arial" w:eastAsia="Arial" w:hAnsi="Arial"/>
                <w:sz w:val="14"/>
                <w:szCs w:val="14"/>
                <w:color w:val="auto"/>
              </w:rPr>
              <w:t>(4)</w:t>
            </w:r>
          </w:p>
        </w:tc>
        <w:tc>
          <w:tcPr>
            <w:tcW w:w="1440" w:type="dxa"/>
            <w:vAlign w:val="bottom"/>
            <w:tcBorders>
              <w:bottom w:val="single" w:sz="8" w:color="auto"/>
              <w:right w:val="single" w:sz="8" w:color="auto"/>
            </w:tcBorders>
          </w:tcPr>
          <w:p>
            <w:pPr>
              <w:jc w:val="center"/>
              <w:ind w:right="316"/>
              <w:spacing w:after="0"/>
              <w:rPr>
                <w:sz w:val="20"/>
                <w:szCs w:val="20"/>
                <w:color w:val="auto"/>
              </w:rPr>
            </w:pPr>
            <w:r>
              <w:rPr>
                <w:rFonts w:ascii="Arial" w:cs="Arial" w:eastAsia="Arial" w:hAnsi="Arial"/>
                <w:sz w:val="17"/>
                <w:szCs w:val="17"/>
                <w:color w:val="auto"/>
              </w:rPr>
              <w:t>$4.93</w:t>
            </w:r>
            <w:r>
              <w:rPr>
                <w:rFonts w:ascii="Arial" w:cs="Arial" w:eastAsia="Arial" w:hAnsi="Arial"/>
                <w:sz w:val="14"/>
                <w:szCs w:val="14"/>
                <w:color w:val="auto"/>
              </w:rPr>
              <w:t>(3)</w:t>
            </w:r>
          </w:p>
        </w:tc>
        <w:tc>
          <w:tcPr>
            <w:tcW w:w="1440" w:type="dxa"/>
            <w:vAlign w:val="bottom"/>
            <w:tcBorders>
              <w:bottom w:val="single" w:sz="8" w:color="auto"/>
              <w:right w:val="single" w:sz="8" w:color="auto"/>
            </w:tcBorders>
          </w:tcPr>
          <w:p>
            <w:pPr>
              <w:jc w:val="right"/>
              <w:ind w:right="236"/>
              <w:spacing w:after="0"/>
              <w:rPr>
                <w:sz w:val="20"/>
                <w:szCs w:val="20"/>
                <w:color w:val="auto"/>
              </w:rPr>
            </w:pPr>
            <w:r>
              <w:rPr>
                <w:rFonts w:ascii="Arial" w:cs="Arial" w:eastAsia="Arial" w:hAnsi="Arial"/>
                <w:sz w:val="17"/>
                <w:szCs w:val="17"/>
                <w:color w:val="auto"/>
              </w:rPr>
              <w:t>$4,930,000</w:t>
            </w:r>
          </w:p>
        </w:tc>
        <w:tc>
          <w:tcPr>
            <w:tcW w:w="14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$457.01</w:t>
            </w:r>
          </w:p>
        </w:tc>
      </w:tr>
      <w:tr>
        <w:trPr>
          <w:trHeight w:val="195"/>
        </w:trPr>
        <w:tc>
          <w:tcPr>
            <w:tcW w:w="4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Total</w:t>
            </w:r>
          </w:p>
        </w:tc>
        <w:tc>
          <w:tcPr>
            <w:tcW w:w="1440" w:type="dxa"/>
            <w:vAlign w:val="bottom"/>
            <w:tcBorders>
              <w:bottom w:val="single" w:sz="8" w:color="auto"/>
              <w:right w:val="single" w:sz="8" w:color="auto"/>
            </w:tcBorders>
          </w:tcPr>
          <w:p>
            <w:pPr>
              <w:jc w:val="right"/>
              <w:ind w:right="236"/>
              <w:spacing w:after="0"/>
              <w:rPr>
                <w:sz w:val="20"/>
                <w:szCs w:val="20"/>
                <w:color w:val="auto"/>
              </w:rPr>
            </w:pPr>
            <w:r>
              <w:rPr>
                <w:rFonts w:ascii="Arial" w:cs="Arial" w:eastAsia="Arial" w:hAnsi="Arial"/>
                <w:sz w:val="17"/>
                <w:szCs w:val="17"/>
                <w:color w:val="auto"/>
              </w:rPr>
              <w:t>12,000,000</w:t>
            </w:r>
          </w:p>
        </w:tc>
        <w:tc>
          <w:tcPr>
            <w:tcW w:w="1440" w:type="dxa"/>
            <w:vAlign w:val="bottom"/>
            <w:tcBorders>
              <w:bottom w:val="single" w:sz="8" w:color="auto"/>
              <w:right w:val="single" w:sz="8" w:color="auto"/>
            </w:tcBorders>
          </w:tcPr>
          <w:p>
            <w:pPr>
              <w:jc w:val="right"/>
              <w:ind w:right="416"/>
              <w:spacing w:after="0"/>
              <w:rPr>
                <w:sz w:val="20"/>
                <w:szCs w:val="20"/>
                <w:color w:val="auto"/>
              </w:rPr>
            </w:pPr>
            <w:r>
              <w:rPr>
                <w:rFonts w:ascii="Arial" w:cs="Arial" w:eastAsia="Arial" w:hAnsi="Arial"/>
                <w:sz w:val="17"/>
                <w:szCs w:val="17"/>
                <w:color w:val="auto"/>
              </w:rPr>
              <w:t>$4.93</w:t>
            </w:r>
          </w:p>
        </w:tc>
        <w:tc>
          <w:tcPr>
            <w:tcW w:w="1440" w:type="dxa"/>
            <w:vAlign w:val="bottom"/>
            <w:tcBorders>
              <w:bottom w:val="single" w:sz="8" w:color="auto"/>
              <w:right w:val="single" w:sz="8" w:color="auto"/>
            </w:tcBorders>
          </w:tcPr>
          <w:p>
            <w:pPr>
              <w:jc w:val="right"/>
              <w:ind w:right="196"/>
              <w:spacing w:after="0"/>
              <w:rPr>
                <w:sz w:val="20"/>
                <w:szCs w:val="20"/>
                <w:color w:val="auto"/>
              </w:rPr>
            </w:pPr>
            <w:r>
              <w:rPr>
                <w:rFonts w:ascii="Arial" w:cs="Arial" w:eastAsia="Arial" w:hAnsi="Arial"/>
                <w:sz w:val="17"/>
                <w:szCs w:val="17"/>
                <w:color w:val="auto"/>
              </w:rPr>
              <w:t>$59,160,000</w:t>
            </w:r>
          </w:p>
        </w:tc>
        <w:tc>
          <w:tcPr>
            <w:tcW w:w="142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$5,484.13</w:t>
            </w: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jc w:val="both"/>
        <w:ind w:left="406" w:right="860" w:hanging="406"/>
        <w:spacing w:after="0" w:line="252" w:lineRule="auto"/>
        <w:tabs>
          <w:tab w:leader="none" w:pos="406"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“Securities Act”), this registration statement also covers an indeterminate number of additional shares that may be issued to prevent dilution resulting from stock splits, stock dividends or similar transactions.</w:t>
      </w:r>
    </w:p>
    <w:p>
      <w:pPr>
        <w:spacing w:after="0" w:line="2" w:lineRule="exact"/>
        <w:rPr>
          <w:rFonts w:ascii="Arial" w:cs="Arial" w:eastAsia="Arial" w:hAnsi="Arial"/>
          <w:sz w:val="17"/>
          <w:szCs w:val="17"/>
          <w:color w:val="auto"/>
        </w:rPr>
      </w:pPr>
    </w:p>
    <w:p>
      <w:pPr>
        <w:ind w:left="406" w:right="60" w:hanging="406"/>
        <w:spacing w:after="0" w:line="247" w:lineRule="auto"/>
        <w:tabs>
          <w:tab w:leader="none" w:pos="406"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shares of the registrant’s common stock reserved for issuance upon exercise of stock options outstanding under the SAB Biotherapeutics, Inc. 2021 Omnibus Equity Incentive Plan (the “2021 Plan”). To the extent that awards outstanding under the 2021 Plan are forfeited, cancelled, surrendered or terminated without issuance of shares, the shares of common stock subject to such awards will be available for future issuance under the 2021 Plan</w:t>
      </w:r>
    </w:p>
    <w:p>
      <w:pPr>
        <w:spacing w:after="0" w:line="3" w:lineRule="exact"/>
        <w:rPr>
          <w:rFonts w:ascii="Arial" w:cs="Arial" w:eastAsia="Arial" w:hAnsi="Arial"/>
          <w:sz w:val="17"/>
          <w:szCs w:val="17"/>
          <w:color w:val="auto"/>
        </w:rPr>
      </w:pPr>
    </w:p>
    <w:p>
      <w:pPr>
        <w:jc w:val="both"/>
        <w:ind w:left="406" w:right="20" w:hanging="406"/>
        <w:spacing w:after="0" w:line="247" w:lineRule="auto"/>
        <w:tabs>
          <w:tab w:leader="none" w:pos="406"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pursuant to Rules 457(c) and 457(h) under the Securities Act, solely for the purposes of calculating the registration fee and based on the average of the high and low prices of the registrant’s common stock as reported on the Nasdaq Stock Market LLC on January 28, 2022, which date is within five business days prior to the filing of this registration statement.</w:t>
      </w:r>
    </w:p>
    <w:p>
      <w:pPr>
        <w:spacing w:after="0" w:line="2" w:lineRule="exact"/>
        <w:rPr>
          <w:rFonts w:ascii="Arial" w:cs="Arial" w:eastAsia="Arial" w:hAnsi="Arial"/>
          <w:sz w:val="17"/>
          <w:szCs w:val="17"/>
          <w:color w:val="auto"/>
        </w:rPr>
      </w:pPr>
    </w:p>
    <w:p>
      <w:pPr>
        <w:ind w:left="406" w:right="320" w:hanging="406"/>
        <w:spacing w:after="0" w:line="255" w:lineRule="auto"/>
        <w:tabs>
          <w:tab w:leader="none" w:pos="406"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shares of the registrant’s common stock currently reserved for future issuance under the SAB Biotherapeutics, Inc. 2021 Employee Stock Purchase Plan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65398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398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169545</wp:posOffset>
            </wp:positionV>
            <wp:extent cx="65398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39865" cy="8255"/>
                    </a:xfrm>
                    <a:prstGeom prst="rect">
                      <a:avLst/>
                    </a:prstGeom>
                    <a:noFill/>
                  </pic:spPr>
                </pic:pic>
              </a:graphicData>
            </a:graphic>
          </wp:anchor>
        </w:drawing>
      </w:r>
    </w:p>
    <w:p>
      <w:pPr>
        <w:sectPr>
          <w:pgSz w:w="11900" w:h="16838" w:orient="portrait"/>
          <w:cols w:equalWidth="0" w:num="1">
            <w:col w:w="10306"/>
          </w:cols>
          <w:pgMar w:left="794" w:top="120" w:right="79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PART 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REQUIRED IN THE SECTION 10(a) PROSPECTUS</w:t>
      </w:r>
    </w:p>
    <w:p>
      <w:pPr>
        <w:spacing w:after="0" w:line="111"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The information required by Part I of Form S-8 to be contained in the Section 10(a) prospectus is omitted from this registration statement in accordance with Rule 428 under the Securities Act of 1933, as amended (the “Securities Act”). The document(s) containing the information specified in Part I will be sent or given to participants in the ESPP and participants in the 2021 Plan (the 2021 Plan together with the ESPP, the “Plans”) as specified by Rule 428(b)(1) of the Securities Act. Such documents are not being filed with the Securities and Exchange Commission (the “Commission”) as part of this registration statement or as prospectuses or prospectus supplements pursuant to Rule 424 of the Securities Act. These documents and the documents incorporated by reference in the registration statement pursuant to Item 3 of Part II of this form, taken together, constitute a prospectus that meets the requirements of Section 10(a) of the Securities Act.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8"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INFORMATION REQUIRED IN THE REGISTRATION STATEMENT</w:t>
      </w:r>
    </w:p>
    <w:p>
      <w:pPr>
        <w:spacing w:after="0" w:line="12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filed with the Commission are hereby incorporated by reference in this registration statement:</w:t>
      </w:r>
    </w:p>
    <w:p>
      <w:pPr>
        <w:spacing w:after="0" w:line="208" w:lineRule="exact"/>
        <w:rPr>
          <w:sz w:val="20"/>
          <w:szCs w:val="20"/>
          <w:color w:val="auto"/>
        </w:rPr>
      </w:pPr>
    </w:p>
    <w:p>
      <w:pPr>
        <w:ind w:firstLine="406"/>
        <w:spacing w:after="0" w:line="259" w:lineRule="auto"/>
        <w:tabs>
          <w:tab w:leader="none" w:pos="806"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prospectus filed by the registrant with the Commission pursuant to Rule </w:t>
      </w:r>
      <w:hyperlink r:id="rId20">
        <w:r>
          <w:rPr>
            <w:rFonts w:ascii="Arial" w:cs="Arial" w:eastAsia="Arial" w:hAnsi="Arial"/>
            <w:sz w:val="17"/>
            <w:szCs w:val="17"/>
            <w:u w:val="single" w:color="auto"/>
            <w:color w:val="0000EE"/>
          </w:rPr>
          <w:t>424(b)(3)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under the Securities Act, on December 29, 2021, relating to the registration statement on </w:t>
      </w:r>
      <w:hyperlink r:id="rId21">
        <w:r>
          <w:rPr>
            <w:rFonts w:ascii="Arial" w:cs="Arial" w:eastAsia="Arial" w:hAnsi="Arial"/>
            <w:sz w:val="17"/>
            <w:szCs w:val="17"/>
            <w:u w:val="single" w:color="auto"/>
            <w:color w:val="0000EE"/>
          </w:rPr>
          <w:t>Form S-1</w:t>
        </w:r>
      </w:hyperlink>
      <w:r>
        <w:rPr>
          <w:rFonts w:ascii="Arial" w:cs="Arial" w:eastAsia="Arial" w:hAnsi="Arial"/>
          <w:sz w:val="17"/>
          <w:szCs w:val="17"/>
          <w:color w:val="auto"/>
        </w:rPr>
        <w:t>, as amended (File No. 333-261496), which contains the registrant’s audited financial statements for the latest fiscal year for which such statements have been filed;</w:t>
      </w:r>
    </w:p>
    <w:p>
      <w:pPr>
        <w:spacing w:after="0" w:line="174" w:lineRule="exact"/>
        <w:rPr>
          <w:rFonts w:ascii="Arial" w:cs="Arial" w:eastAsia="Arial" w:hAnsi="Arial"/>
          <w:sz w:val="17"/>
          <w:szCs w:val="17"/>
          <w:color w:val="auto"/>
        </w:rPr>
      </w:pPr>
    </w:p>
    <w:p>
      <w:pPr>
        <w:ind w:right="660" w:firstLine="406"/>
        <w:spacing w:after="0" w:line="270" w:lineRule="auto"/>
        <w:tabs>
          <w:tab w:leader="none" w:pos="773" w:val="left"/>
        </w:tabs>
        <w:numPr>
          <w:ilvl w:val="0"/>
          <w:numId w:val="2"/>
        </w:numPr>
        <w:rPr>
          <w:rFonts w:ascii="Arial" w:cs="Arial" w:eastAsia="Arial" w:hAnsi="Arial"/>
          <w:sz w:val="17"/>
          <w:szCs w:val="17"/>
          <w:color w:val="0000EE"/>
        </w:rPr>
      </w:pPr>
      <w:r>
        <w:rPr>
          <w:rFonts w:ascii="Arial" w:cs="Arial" w:eastAsia="Arial" w:hAnsi="Arial"/>
          <w:sz w:val="17"/>
          <w:szCs w:val="17"/>
          <w:color w:val="auto"/>
        </w:rPr>
        <w:t xml:space="preserve">The registrant’s quarterly report on Form 10-Q for the quarterly period ended September 30, 2021 (as filed with the Commission on </w:t>
      </w:r>
      <w:hyperlink r:id="rId22">
        <w:r>
          <w:rPr>
            <w:rFonts w:ascii="Arial" w:cs="Arial" w:eastAsia="Arial" w:hAnsi="Arial"/>
            <w:sz w:val="17"/>
            <w:szCs w:val="17"/>
            <w:u w:val="single" w:color="auto"/>
            <w:color w:val="0000EE"/>
          </w:rPr>
          <w:t>November 22, 2021</w:t>
        </w:r>
      </w:hyperlink>
      <w:r>
        <w:rPr>
          <w:rFonts w:ascii="Arial" w:cs="Arial" w:eastAsia="Arial" w:hAnsi="Arial"/>
          <w:sz w:val="17"/>
          <w:szCs w:val="17"/>
          <w:color w:val="000000"/>
        </w:rPr>
        <w:t>);</w:t>
      </w:r>
    </w:p>
    <w:p>
      <w:pPr>
        <w:spacing w:after="0" w:line="166" w:lineRule="exact"/>
        <w:rPr>
          <w:rFonts w:ascii="Arial" w:cs="Arial" w:eastAsia="Arial" w:hAnsi="Arial"/>
          <w:sz w:val="17"/>
          <w:szCs w:val="17"/>
          <w:color w:val="0000EE"/>
        </w:rPr>
      </w:pPr>
    </w:p>
    <w:p>
      <w:pPr>
        <w:ind w:right="60" w:firstLine="406"/>
        <w:spacing w:after="0" w:line="259" w:lineRule="auto"/>
        <w:tabs>
          <w:tab w:leader="none" w:pos="806"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description of the registrant’s common stock contained in the registrant’s registration statement on </w:t>
      </w:r>
      <w:hyperlink r:id="rId23">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filed by the registrant with the Commission under Section 12(b) of the Securities Exchange Act of 1934, as amended (the “Exchange Act”), on January 8, 2021, including any amendments or reports filed for the purpose of updating such description; and</w:t>
      </w:r>
    </w:p>
    <w:p>
      <w:pPr>
        <w:spacing w:after="0" w:line="174" w:lineRule="exact"/>
        <w:rPr>
          <w:rFonts w:ascii="Arial" w:cs="Arial" w:eastAsia="Arial" w:hAnsi="Arial"/>
          <w:sz w:val="17"/>
          <w:szCs w:val="17"/>
          <w:color w:val="auto"/>
        </w:rPr>
      </w:pPr>
    </w:p>
    <w:p>
      <w:pPr>
        <w:ind w:right="20" w:firstLine="406"/>
        <w:spacing w:after="0" w:line="276" w:lineRule="auto"/>
        <w:tabs>
          <w:tab w:leader="none" w:pos="773" w:val="left"/>
        </w:tabs>
        <w:numPr>
          <w:ilvl w:val="0"/>
          <w:numId w:val="2"/>
        </w:numPr>
        <w:rPr>
          <w:rFonts w:ascii="Arial" w:cs="Arial" w:eastAsia="Arial" w:hAnsi="Arial"/>
          <w:sz w:val="16"/>
          <w:szCs w:val="16"/>
          <w:color w:val="000000"/>
        </w:rPr>
      </w:pPr>
      <w:r>
        <w:rPr>
          <w:rFonts w:ascii="Arial" w:cs="Arial" w:eastAsia="Arial" w:hAnsi="Arial"/>
          <w:sz w:val="16"/>
          <w:szCs w:val="16"/>
          <w:color w:val="auto"/>
        </w:rPr>
        <w:t xml:space="preserve">The registrant’s current reports on Form 8-K filed with the Commission on </w:t>
      </w:r>
      <w:hyperlink r:id="rId24">
        <w:r>
          <w:rPr>
            <w:rFonts w:ascii="Arial" w:cs="Arial" w:eastAsia="Arial" w:hAnsi="Arial"/>
            <w:sz w:val="16"/>
            <w:szCs w:val="16"/>
            <w:u w:val="single" w:color="auto"/>
            <w:color w:val="0000EE"/>
          </w:rPr>
          <w:t>January 12, 2021</w:t>
        </w:r>
      </w:hyperlink>
      <w:r>
        <w:rPr>
          <w:rFonts w:ascii="Arial" w:cs="Arial" w:eastAsia="Arial" w:hAnsi="Arial"/>
          <w:sz w:val="16"/>
          <w:szCs w:val="16"/>
          <w:color w:val="auto"/>
        </w:rPr>
        <w:t xml:space="preserve">, </w:t>
      </w:r>
      <w:hyperlink r:id="rId25">
        <w:r>
          <w:rPr>
            <w:rFonts w:ascii="Arial" w:cs="Arial" w:eastAsia="Arial" w:hAnsi="Arial"/>
            <w:sz w:val="16"/>
            <w:szCs w:val="16"/>
            <w:u w:val="single" w:color="auto"/>
            <w:color w:val="0000EE"/>
          </w:rPr>
          <w:t>January 21, 2021</w:t>
        </w:r>
      </w:hyperlink>
      <w:r>
        <w:rPr>
          <w:rFonts w:ascii="Arial" w:cs="Arial" w:eastAsia="Arial" w:hAnsi="Arial"/>
          <w:sz w:val="16"/>
          <w:szCs w:val="16"/>
          <w:color w:val="auto"/>
        </w:rPr>
        <w:t xml:space="preserve">, (other than Exhibit 99.1 </w:t>
      </w:r>
      <w:hyperlink r:id="rId26">
        <w:r>
          <w:rPr>
            <w:rFonts w:ascii="Arial" w:cs="Arial" w:eastAsia="Arial" w:hAnsi="Arial"/>
            <w:sz w:val="16"/>
            <w:szCs w:val="16"/>
            <w:color w:val="auto"/>
          </w:rPr>
          <w:t xml:space="preserve">and the information set forth therein incorporated into this current report) </w:t>
        </w:r>
        <w:r>
          <w:rPr>
            <w:rFonts w:ascii="Arial" w:cs="Arial" w:eastAsia="Arial" w:hAnsi="Arial"/>
            <w:sz w:val="16"/>
            <w:szCs w:val="16"/>
            <w:u w:val="single" w:color="auto"/>
            <w:color w:val="0000EE"/>
          </w:rPr>
          <w:t>February 4, 2021</w:t>
        </w:r>
        <w:r>
          <w:rPr>
            <w:rFonts w:ascii="Arial" w:cs="Arial" w:eastAsia="Arial" w:hAnsi="Arial"/>
            <w:sz w:val="16"/>
            <w:szCs w:val="16"/>
            <w:color w:val="auto"/>
          </w:rPr>
          <w:t xml:space="preserve">, </w:t>
        </w:r>
        <w:r>
          <w:rPr>
            <w:rFonts w:ascii="Arial" w:cs="Arial" w:eastAsia="Arial" w:hAnsi="Arial"/>
            <w:sz w:val="16"/>
            <w:szCs w:val="16"/>
            <w:u w:val="single" w:color="auto"/>
            <w:color w:val="0000EE"/>
          </w:rPr>
          <w:t>May 21, 2021</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June 22, 2021</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June 22, 2021</w:t>
        </w:r>
        <w:r>
          <w:rPr>
            <w:rFonts w:ascii="Arial" w:cs="Arial" w:eastAsia="Arial" w:hAnsi="Arial"/>
            <w:sz w:val="16"/>
            <w:szCs w:val="16"/>
            <w:color w:val="auto"/>
          </w:rPr>
          <w:t xml:space="preserve">, </w:t>
        </w:r>
        <w:r>
          <w:rPr>
            <w:rFonts w:ascii="Arial" w:cs="Arial" w:eastAsia="Arial" w:hAnsi="Arial"/>
            <w:sz w:val="16"/>
            <w:szCs w:val="16"/>
            <w:u w:val="single" w:color="auto"/>
            <w:color w:val="0000EE"/>
          </w:rPr>
          <w:t>August 13,</w:t>
        </w:r>
      </w:hyperlink>
      <w:r>
        <w:rPr>
          <w:rFonts w:ascii="Arial" w:cs="Arial" w:eastAsia="Arial" w:hAnsi="Arial"/>
          <w:sz w:val="16"/>
          <w:szCs w:val="16"/>
          <w:color w:val="auto"/>
        </w:rPr>
        <w:t xml:space="preserve"> </w:t>
      </w:r>
      <w:hyperlink r:id="rId26">
        <w:r>
          <w:rPr>
            <w:rFonts w:ascii="Arial" w:cs="Arial" w:eastAsia="Arial" w:hAnsi="Arial"/>
            <w:sz w:val="16"/>
            <w:szCs w:val="16"/>
            <w:u w:val="single" w:color="auto"/>
            <w:color w:val="0000EE"/>
          </w:rPr>
          <w:t>2021</w:t>
        </w:r>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27">
        <w:r>
          <w:rPr>
            <w:rFonts w:ascii="Arial" w:cs="Arial" w:eastAsia="Arial" w:hAnsi="Arial"/>
            <w:sz w:val="16"/>
            <w:szCs w:val="16"/>
            <w:u w:val="single" w:color="auto"/>
            <w:color w:val="0000EE"/>
          </w:rPr>
          <w:t>October 12, 2021</w:t>
        </w:r>
      </w:hyperlink>
      <w:hyperlink r:id="rId26">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28">
        <w:r>
          <w:rPr>
            <w:rFonts w:ascii="Arial" w:cs="Arial" w:eastAsia="Arial" w:hAnsi="Arial"/>
            <w:sz w:val="16"/>
            <w:szCs w:val="16"/>
            <w:u w:val="single" w:color="auto"/>
            <w:color w:val="0000EE"/>
          </w:rPr>
          <w:t>October 13, 2021</w:t>
        </w:r>
      </w:hyperlink>
      <w:hyperlink r:id="rId26">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29">
        <w:r>
          <w:rPr>
            <w:rFonts w:ascii="Arial" w:cs="Arial" w:eastAsia="Arial" w:hAnsi="Arial"/>
            <w:sz w:val="16"/>
            <w:szCs w:val="16"/>
            <w:u w:val="single" w:color="auto"/>
            <w:color w:val="0000EE"/>
          </w:rPr>
          <w:t>October 21, 2021</w:t>
        </w:r>
      </w:hyperlink>
      <w:hyperlink r:id="rId26">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30">
        <w:r>
          <w:rPr>
            <w:rFonts w:ascii="Arial" w:cs="Arial" w:eastAsia="Arial" w:hAnsi="Arial"/>
            <w:sz w:val="16"/>
            <w:szCs w:val="16"/>
            <w:u w:val="single" w:color="auto"/>
            <w:color w:val="0000EE"/>
          </w:rPr>
          <w:t>October 28, 2021</w:t>
        </w:r>
      </w:hyperlink>
      <w:hyperlink r:id="rId26">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31">
        <w:r>
          <w:rPr>
            <w:rFonts w:ascii="Arial" w:cs="Arial" w:eastAsia="Arial" w:hAnsi="Arial"/>
            <w:sz w:val="16"/>
            <w:szCs w:val="16"/>
            <w:u w:val="single" w:color="auto"/>
            <w:color w:val="0000EE"/>
          </w:rPr>
          <w:t>November 19, 2021</w:t>
        </w:r>
      </w:hyperlink>
      <w:hyperlink r:id="rId26">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32">
        <w:r>
          <w:rPr>
            <w:rFonts w:ascii="Arial" w:cs="Arial" w:eastAsia="Arial" w:hAnsi="Arial"/>
            <w:sz w:val="16"/>
            <w:szCs w:val="16"/>
            <w:u w:val="single" w:color="auto"/>
            <w:color w:val="0000EE"/>
          </w:rPr>
          <w:t>November 22, 2021</w:t>
        </w:r>
      </w:hyperlink>
      <w:hyperlink r:id="rId26">
        <w:r>
          <w:rPr>
            <w:rFonts w:ascii="Arial" w:cs="Arial" w:eastAsia="Arial" w:hAnsi="Arial"/>
            <w:sz w:val="16"/>
            <w:szCs w:val="16"/>
            <w:color w:val="000000"/>
          </w:rPr>
          <w:t>, its current report on Form</w:t>
        </w:r>
      </w:hyperlink>
      <w:r>
        <w:rPr>
          <w:rFonts w:ascii="Arial" w:cs="Arial" w:eastAsia="Arial" w:hAnsi="Arial"/>
          <w:sz w:val="16"/>
          <w:szCs w:val="16"/>
          <w:color w:val="0000EE"/>
        </w:rPr>
        <w:t xml:space="preserve"> </w:t>
      </w:r>
      <w:r>
        <w:rPr>
          <w:rFonts w:ascii="Arial" w:cs="Arial" w:eastAsia="Arial" w:hAnsi="Arial"/>
          <w:sz w:val="16"/>
          <w:szCs w:val="16"/>
          <w:color w:val="000000"/>
        </w:rPr>
        <w:t xml:space="preserve">8-K/A filed on </w:t>
      </w:r>
      <w:hyperlink r:id="rId33">
        <w:r>
          <w:rPr>
            <w:rFonts w:ascii="Arial" w:cs="Arial" w:eastAsia="Arial" w:hAnsi="Arial"/>
            <w:sz w:val="16"/>
            <w:szCs w:val="16"/>
            <w:u w:val="single" w:color="auto"/>
            <w:color w:val="0000EE"/>
          </w:rPr>
          <w:t>November 22, 2021</w:t>
        </w:r>
      </w:hyperlink>
      <w:r>
        <w:rPr>
          <w:rFonts w:ascii="Arial" w:cs="Arial" w:eastAsia="Arial" w:hAnsi="Arial"/>
          <w:sz w:val="16"/>
          <w:szCs w:val="16"/>
          <w:color w:val="000000"/>
        </w:rPr>
        <w:t xml:space="preserve">, and it’s current report on Form 8-K filed </w:t>
      </w:r>
      <w:hyperlink r:id="rId34">
        <w:r>
          <w:rPr>
            <w:rFonts w:ascii="Arial" w:cs="Arial" w:eastAsia="Arial" w:hAnsi="Arial"/>
            <w:sz w:val="16"/>
            <w:szCs w:val="16"/>
            <w:u w:val="single" w:color="auto"/>
            <w:color w:val="0000EE"/>
          </w:rPr>
          <w:t>January 6, 2022</w:t>
        </w:r>
      </w:hyperlink>
      <w:r>
        <w:rPr>
          <w:rFonts w:ascii="Arial" w:cs="Arial" w:eastAsia="Arial" w:hAnsi="Arial"/>
          <w:sz w:val="16"/>
          <w:szCs w:val="16"/>
          <w:color w:val="000000"/>
        </w:rPr>
        <w:t>.</w:t>
      </w:r>
    </w:p>
    <w:p>
      <w:pPr>
        <w:spacing w:after="0" w:line="163" w:lineRule="exact"/>
        <w:rPr>
          <w:rFonts w:ascii="Arial" w:cs="Arial" w:eastAsia="Arial" w:hAnsi="Arial"/>
          <w:sz w:val="16"/>
          <w:szCs w:val="16"/>
          <w:color w:val="0000EE"/>
        </w:rPr>
      </w:pPr>
    </w:p>
    <w:p>
      <w:pPr>
        <w:ind w:right="60"/>
        <w:spacing w:after="0" w:line="255" w:lineRule="auto"/>
        <w:rPr>
          <w:sz w:val="20"/>
          <w:szCs w:val="20"/>
          <w:color w:val="auto"/>
        </w:rPr>
      </w:pPr>
      <w:r>
        <w:rPr>
          <w:rFonts w:ascii="Arial" w:cs="Arial" w:eastAsia="Arial" w:hAnsi="Arial"/>
          <w:sz w:val="17"/>
          <w:szCs w:val="17"/>
          <w:color w:val="auto"/>
        </w:rPr>
        <w:t>All documents that the registrant subsequently files pursuant to Sections 13(a), 13(c), 14 and 15(d) of the Exchange Act prior to the filing of a post-effective amendment to this registration statement that indicates that all of the shares of common stock offered have been sold or that deregisters all of such shares then remaining unsold, shall be deemed to be incorporated by reference in this registration statement and to be a part hereof from the date of the filing of such documents.</w:t>
      </w:r>
    </w:p>
    <w:p>
      <w:pPr>
        <w:spacing w:after="0" w:line="179" w:lineRule="exact"/>
        <w:rPr>
          <w:rFonts w:ascii="Arial" w:cs="Arial" w:eastAsia="Arial" w:hAnsi="Arial"/>
          <w:sz w:val="16"/>
          <w:szCs w:val="16"/>
          <w:color w:val="0000EE"/>
        </w:rPr>
      </w:pPr>
    </w:p>
    <w:p>
      <w:pPr>
        <w:ind w:right="100"/>
        <w:spacing w:after="0" w:line="255"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16" w:lineRule="exact"/>
        <w:rPr>
          <w:rFonts w:ascii="Arial" w:cs="Arial" w:eastAsia="Arial" w:hAnsi="Arial"/>
          <w:sz w:val="16"/>
          <w:szCs w:val="16"/>
          <w:color w:val="0000EE"/>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300"/>
          </w:cols>
          <w:pgMar w:left="800" w:top="262" w:right="799" w:bottom="1440" w:gutter="0" w:footer="0" w:header="0"/>
        </w:sectPr>
      </w:pPr>
    </w:p>
    <w:bookmarkStart w:id="3" w:name="page4"/>
    <w:bookmarkEnd w:id="3"/>
    <w:p>
      <w:pPr>
        <w:ind w:right="2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Under no circumstances will any information filed under current items 2.02 or 7.01 of Form 8-K be deemed incorporated herein by reference unless such Form 8-K expressly provides to the contrary.</w:t>
      </w:r>
    </w:p>
    <w:p>
      <w:pPr>
        <w:spacing w:after="0" w:line="30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Description of Securities.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43"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43"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111"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56"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The registrant has adopted provisions in the registrant’s certificate of incorporation and bylaws, which became effective in connection with the completion of the registrant’s business combination on October 22, 2021, that limit or eliminate the personal liability of the registrant’s directors to the fullest extent permitted by the DGCL, as it now exists or may in the future be amended. Consequently, a director will not be personally liable to the registrant or its stockholders for monetary damages or breach of fiduciary duty as a director, except for liability for:</w:t>
      </w:r>
    </w:p>
    <w:p>
      <w:pPr>
        <w:spacing w:after="0" w:line="75" w:lineRule="exact"/>
        <w:rPr>
          <w:sz w:val="20"/>
          <w:szCs w:val="20"/>
          <w:color w:val="auto"/>
        </w:rPr>
      </w:pPr>
    </w:p>
    <w:p>
      <w:pPr>
        <w:ind w:left="1320" w:hanging="404"/>
        <w:spacing w:after="0"/>
        <w:tabs>
          <w:tab w:leader="none" w:pos="1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Registrant or its stockholders;</w:t>
      </w:r>
    </w:p>
    <w:p>
      <w:pPr>
        <w:spacing w:after="0" w:line="120" w:lineRule="exact"/>
        <w:rPr>
          <w:rFonts w:ascii="Arial" w:cs="Arial" w:eastAsia="Arial" w:hAnsi="Arial"/>
          <w:sz w:val="17"/>
          <w:szCs w:val="17"/>
          <w:color w:val="auto"/>
        </w:rPr>
      </w:pPr>
    </w:p>
    <w:p>
      <w:pPr>
        <w:ind w:left="1320" w:hanging="404"/>
        <w:spacing w:after="0"/>
        <w:tabs>
          <w:tab w:leader="none" w:pos="1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120" w:lineRule="exact"/>
        <w:rPr>
          <w:rFonts w:ascii="Arial" w:cs="Arial" w:eastAsia="Arial" w:hAnsi="Arial"/>
          <w:sz w:val="17"/>
          <w:szCs w:val="17"/>
          <w:color w:val="auto"/>
        </w:rPr>
      </w:pPr>
    </w:p>
    <w:p>
      <w:pPr>
        <w:ind w:left="1320" w:hanging="404"/>
        <w:spacing w:after="0"/>
        <w:tabs>
          <w:tab w:leader="none" w:pos="1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unlawful payments related to dividends or unlawful stock purchases, redemptions or other distributions; or</w:t>
      </w:r>
    </w:p>
    <w:p>
      <w:pPr>
        <w:spacing w:after="0" w:line="120" w:lineRule="exact"/>
        <w:rPr>
          <w:rFonts w:ascii="Arial" w:cs="Arial" w:eastAsia="Arial" w:hAnsi="Arial"/>
          <w:sz w:val="17"/>
          <w:szCs w:val="17"/>
          <w:color w:val="auto"/>
        </w:rPr>
      </w:pPr>
    </w:p>
    <w:p>
      <w:pPr>
        <w:ind w:left="1320" w:hanging="404"/>
        <w:spacing w:after="0"/>
        <w:tabs>
          <w:tab w:leader="none" w:pos="1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0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These limitations of liability do not alter director liability under the federal securities laws and do not affect the availability of equitable remedies such as an injunction or rescission.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registrant’s bylaws provide that:</w:t>
      </w:r>
    </w:p>
    <w:p>
      <w:pPr>
        <w:spacing w:after="0" w:line="120" w:lineRule="exact"/>
        <w:rPr>
          <w:sz w:val="20"/>
          <w:szCs w:val="20"/>
          <w:color w:val="auto"/>
        </w:rPr>
      </w:pPr>
    </w:p>
    <w:p>
      <w:pPr>
        <w:ind w:left="1320" w:right="300" w:hanging="404"/>
        <w:spacing w:after="0" w:line="270" w:lineRule="auto"/>
        <w:tabs>
          <w:tab w:leader="none" w:pos="1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 will indemnify its directors, officers and, in the discretion of its board of directors, certain employees to the fullest extent permitted by the DGCL, as it now exists or may in the future be amended;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20"/>
          </w:cols>
          <w:pgMar w:left="800" w:top="266" w:right="879" w:bottom="1440" w:gutter="0" w:footer="0" w:header="0"/>
        </w:sectPr>
      </w:pPr>
    </w:p>
    <w:bookmarkStart w:id="4" w:name="page5"/>
    <w:bookmarkEnd w:id="4"/>
    <w:p>
      <w:pPr>
        <w:ind w:left="1320" w:right="200" w:hanging="404"/>
        <w:spacing w:after="0" w:line="259" w:lineRule="auto"/>
        <w:tabs>
          <w:tab w:leader="none" w:pos="1320"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the registrant will advance expenses, including attorneys’ fees, to its directors and, in the discretion of its board of directors, to its officers and certain employees, in connection with legal proceedings relating to their service for or on behalf of the registrant, subject to limited exceptions</w:t>
      </w:r>
    </w:p>
    <w:p>
      <w:pPr>
        <w:spacing w:after="0" w:line="17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registrant has entered into indemnification agreements with its directors and executive officers. These agreements provide that the registrant will indemnify each of its directors and executive officers to the fullest extent permitted by Delaware law. The registrant will advance expenses, including attorneys’ fees (but excluding judgments, fines and settlement amounts), to each indemnified director or executive officer in connection with any proceeding in which indemnification is available and the registrant will indemnify its directors and officers for any action or proceeding arising out of that person’s services as a director or officer brought on behalf of the registrant or in furtherance of the registrant’s rights. Additionally, certain of the registrant’s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the registrant has agreed in the indemnification agreements that the registrant’s obligations to those same directors are primary and any obligation of such affiliates or other third parties to advance expenses or to provide indemnification for the expenses or liabilities incurred by those directors are secondary.</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registrant also maintains general liability insurance which covers certain liabilities of its directors and officers arising out of claims based on acts or omissions in their capacities as directors or officers, including liabilities under the Securities Act.</w:t>
      </w:r>
    </w:p>
    <w:p>
      <w:pPr>
        <w:spacing w:after="0" w:line="30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Exemption from Registration Claimed.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 w:type="dxa"/>
            <w:vAlign w:val="bottom"/>
            <w:gridSpan w:val="2"/>
          </w:tcPr>
          <w:p>
            <w:pPr>
              <w:spacing w:after="0"/>
              <w:rPr>
                <w:sz w:val="20"/>
                <w:szCs w:val="20"/>
                <w:color w:val="auto"/>
              </w:rPr>
            </w:pPr>
            <w:r>
              <w:rPr>
                <w:rFonts w:ascii="Arial" w:cs="Arial" w:eastAsia="Arial" w:hAnsi="Arial"/>
                <w:sz w:val="17"/>
                <w:szCs w:val="17"/>
                <w:b w:val="1"/>
                <w:bCs w:val="1"/>
                <w:color w:val="auto"/>
              </w:rPr>
              <w:t>Item 8.</w:t>
            </w:r>
          </w:p>
        </w:tc>
        <w:tc>
          <w:tcPr>
            <w:tcW w:w="5140" w:type="dxa"/>
            <w:vAlign w:val="bottom"/>
            <w:gridSpan w:val="2"/>
          </w:tcPr>
          <w:p>
            <w:pPr>
              <w:ind w:left="260"/>
              <w:spacing w:after="0"/>
              <w:rPr>
                <w:sz w:val="20"/>
                <w:szCs w:val="20"/>
                <w:color w:val="auto"/>
              </w:rPr>
            </w:pPr>
            <w:r>
              <w:rPr>
                <w:rFonts w:ascii="Arial" w:cs="Arial" w:eastAsia="Arial" w:hAnsi="Arial"/>
                <w:sz w:val="17"/>
                <w:szCs w:val="17"/>
                <w:b w:val="1"/>
                <w:bCs w:val="1"/>
                <w:color w:val="auto"/>
              </w:rPr>
              <w:t>Exhibits.</w:t>
            </w:r>
          </w:p>
        </w:tc>
        <w:tc>
          <w:tcPr>
            <w:tcW w:w="0" w:type="dxa"/>
            <w:vAlign w:val="bottom"/>
          </w:tcPr>
          <w:p>
            <w:pPr>
              <w:spacing w:after="0"/>
              <w:rPr>
                <w:sz w:val="1"/>
                <w:szCs w:val="1"/>
                <w:color w:val="auto"/>
              </w:rPr>
            </w:pPr>
          </w:p>
        </w:tc>
      </w:tr>
      <w:tr>
        <w:trPr>
          <w:trHeight w:val="606"/>
        </w:trPr>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40" w:type="dxa"/>
            <w:vAlign w:val="bottom"/>
            <w:gridSpan w:val="2"/>
          </w:tcPr>
          <w:p>
            <w:pPr>
              <w:ind w:left="374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46"/>
        </w:trPr>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4460" w:type="dxa"/>
            <w:vAlign w:val="bottom"/>
            <w:vMerge w:val="restart"/>
          </w:tcPr>
          <w:p>
            <w:pPr>
              <w:spacing w:after="0"/>
              <w:rPr>
                <w:sz w:val="24"/>
                <w:szCs w:val="24"/>
                <w:color w:val="auto"/>
              </w:rPr>
            </w:pPr>
          </w:p>
        </w:tc>
        <w:tc>
          <w:tcPr>
            <w:tcW w:w="680" w:type="dxa"/>
            <w:vAlign w:val="bottom"/>
            <w:vMerge w:val="restart"/>
          </w:tcPr>
          <w:p>
            <w:pPr>
              <w:spacing w:after="0"/>
              <w:rPr>
                <w:sz w:val="20"/>
                <w:szCs w:val="20"/>
                <w:color w:val="auto"/>
              </w:rPr>
            </w:pPr>
            <w:r>
              <w:rPr>
                <w:rFonts w:ascii="Arial" w:cs="Arial" w:eastAsia="Arial" w:hAnsi="Arial"/>
                <w:sz w:val="13"/>
                <w:szCs w:val="13"/>
                <w:b w:val="1"/>
                <w:bCs w:val="1"/>
                <w:color w:val="auto"/>
                <w:w w:val="92"/>
              </w:rPr>
              <w:t>Description</w:t>
            </w:r>
          </w:p>
        </w:tc>
        <w:tc>
          <w:tcPr>
            <w:tcW w:w="0" w:type="dxa"/>
            <w:vAlign w:val="bottom"/>
          </w:tcPr>
          <w:p>
            <w:pPr>
              <w:spacing w:after="0"/>
              <w:rPr>
                <w:sz w:val="1"/>
                <w:szCs w:val="1"/>
                <w:color w:val="auto"/>
              </w:rPr>
            </w:pPr>
          </w:p>
        </w:tc>
      </w:tr>
      <w:tr>
        <w:trPr>
          <w:trHeight w:val="159"/>
        </w:trPr>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No.</w:t>
            </w:r>
          </w:p>
        </w:tc>
        <w:tc>
          <w:tcPr>
            <w:tcW w:w="340" w:type="dxa"/>
            <w:vAlign w:val="bottom"/>
          </w:tcPr>
          <w:p>
            <w:pPr>
              <w:spacing w:after="0"/>
              <w:rPr>
                <w:sz w:val="13"/>
                <w:szCs w:val="13"/>
                <w:color w:val="auto"/>
              </w:rPr>
            </w:pPr>
          </w:p>
        </w:tc>
        <w:tc>
          <w:tcPr>
            <w:tcW w:w="4460" w:type="dxa"/>
            <w:vAlign w:val="bottom"/>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80"/>
        <w:spacing w:after="0"/>
        <w:tabs>
          <w:tab w:leader="none" w:pos="800" w:val="left"/>
        </w:tabs>
        <w:rPr>
          <w:rFonts w:ascii="Arial" w:cs="Arial" w:eastAsia="Arial" w:hAnsi="Arial"/>
          <w:sz w:val="15"/>
          <w:szCs w:val="15"/>
          <w:u w:val="single" w:color="auto"/>
          <w:color w:val="0000EE"/>
        </w:rPr>
      </w:pPr>
      <w:r>
        <w:rPr>
          <w:rFonts w:ascii="Arial" w:cs="Arial" w:eastAsia="Arial" w:hAnsi="Arial"/>
          <w:sz w:val="17"/>
          <w:szCs w:val="17"/>
          <w:color w:val="auto"/>
        </w:rPr>
        <w:t>4.1</w:t>
      </w:r>
      <w:r>
        <w:rPr>
          <w:sz w:val="20"/>
          <w:szCs w:val="20"/>
          <w:color w:val="auto"/>
        </w:rPr>
        <w:tab/>
      </w:r>
      <w:hyperlink r:id="rId37">
        <w:r>
          <w:rPr>
            <w:rFonts w:ascii="Arial" w:cs="Arial" w:eastAsia="Arial" w:hAnsi="Arial"/>
            <w:sz w:val="15"/>
            <w:szCs w:val="15"/>
            <w:u w:val="single" w:color="auto"/>
            <w:color w:val="0000EE"/>
          </w:rPr>
          <w:t>Amended and Restated Certificate of Incorporation of the registrant (incorporated by reference to Exhibit 3.1 to the current report on Form</w:t>
        </w:r>
      </w:hyperlink>
    </w:p>
    <w:p>
      <w:pPr>
        <w:spacing w:after="0" w:line="18" w:lineRule="exact"/>
        <w:rPr>
          <w:sz w:val="20"/>
          <w:szCs w:val="20"/>
          <w:color w:val="auto"/>
        </w:rPr>
      </w:pPr>
    </w:p>
    <w:p>
      <w:pPr>
        <w:ind w:left="820"/>
        <w:spacing w:after="0"/>
        <w:rPr>
          <w:rFonts w:ascii="Arial" w:cs="Arial" w:eastAsia="Arial" w:hAnsi="Arial"/>
          <w:sz w:val="17"/>
          <w:szCs w:val="17"/>
          <w:u w:val="single" w:color="auto"/>
          <w:color w:val="0000EE"/>
        </w:rPr>
      </w:pPr>
      <w:hyperlink r:id="rId37">
        <w:r>
          <w:rPr>
            <w:rFonts w:ascii="Arial" w:cs="Arial" w:eastAsia="Arial" w:hAnsi="Arial"/>
            <w:sz w:val="17"/>
            <w:szCs w:val="17"/>
            <w:u w:val="single" w:color="auto"/>
            <w:color w:val="0000EE"/>
          </w:rPr>
          <w:t>8-K, filed with the Commission on October 28, 2021).</w:t>
        </w:r>
      </w:hyperlink>
    </w:p>
    <w:p>
      <w:pPr>
        <w:spacing w:after="0" w:line="95" w:lineRule="exact"/>
        <w:rPr>
          <w:sz w:val="20"/>
          <w:szCs w:val="20"/>
          <w:color w:val="auto"/>
        </w:rPr>
      </w:pPr>
    </w:p>
    <w:p>
      <w:pPr>
        <w:ind w:left="820" w:right="180" w:hanging="735"/>
        <w:spacing w:after="0" w:line="270" w:lineRule="auto"/>
        <w:tabs>
          <w:tab w:leader="none" w:pos="800" w:val="left"/>
        </w:tabs>
        <w:rPr>
          <w:rFonts w:ascii="Arial" w:cs="Arial" w:eastAsia="Arial" w:hAnsi="Arial"/>
          <w:sz w:val="17"/>
          <w:szCs w:val="17"/>
          <w:u w:val="single" w:color="auto"/>
          <w:color w:val="0000EE"/>
        </w:rPr>
      </w:pPr>
      <w:r>
        <w:rPr>
          <w:rFonts w:ascii="Arial" w:cs="Arial" w:eastAsia="Arial" w:hAnsi="Arial"/>
          <w:sz w:val="17"/>
          <w:szCs w:val="17"/>
          <w:color w:val="auto"/>
        </w:rPr>
        <w:t>4.2</w:t>
      </w:r>
      <w:r>
        <w:rPr>
          <w:sz w:val="20"/>
          <w:szCs w:val="20"/>
          <w:color w:val="auto"/>
        </w:rPr>
        <w:tab/>
      </w:r>
      <w:hyperlink r:id="rId38">
        <w:r>
          <w:rPr>
            <w:rFonts w:ascii="Arial" w:cs="Arial" w:eastAsia="Arial" w:hAnsi="Arial"/>
            <w:sz w:val="17"/>
            <w:szCs w:val="17"/>
            <w:u w:val="single" w:color="auto"/>
            <w:color w:val="0000EE"/>
          </w:rPr>
          <w:t>Amended and Restated Bylaws of the registrant (incorporated by reference to Exhibit 3.2 to the current report on Form 8-K filed with the</w:t>
        </w:r>
      </w:hyperlink>
      <w:r>
        <w:rPr>
          <w:rFonts w:ascii="Arial" w:cs="Arial" w:eastAsia="Arial" w:hAnsi="Arial"/>
          <w:sz w:val="17"/>
          <w:szCs w:val="17"/>
          <w:u w:val="single" w:color="auto"/>
          <w:color w:val="0000EE"/>
        </w:rPr>
        <w:t xml:space="preserve"> </w:t>
      </w:r>
      <w:hyperlink r:id="rId38">
        <w:r>
          <w:rPr>
            <w:rFonts w:ascii="Arial" w:cs="Arial" w:eastAsia="Arial" w:hAnsi="Arial"/>
            <w:sz w:val="17"/>
            <w:szCs w:val="17"/>
            <w:u w:val="single" w:color="auto"/>
            <w:color w:val="0000EE"/>
          </w:rPr>
          <w:t>Commission on October 28, 2021).</w:t>
        </w:r>
      </w:hyperlink>
    </w:p>
    <w:p>
      <w:pPr>
        <w:spacing w:after="0" w:line="65" w:lineRule="exact"/>
        <w:rPr>
          <w:sz w:val="20"/>
          <w:szCs w:val="20"/>
          <w:color w:val="auto"/>
        </w:rPr>
      </w:pPr>
    </w:p>
    <w:p>
      <w:pPr>
        <w:ind w:left="820" w:right="100" w:hanging="735"/>
        <w:spacing w:after="0" w:line="270" w:lineRule="auto"/>
        <w:tabs>
          <w:tab w:leader="none" w:pos="800" w:val="left"/>
        </w:tabs>
        <w:rPr>
          <w:rFonts w:ascii="Arial" w:cs="Arial" w:eastAsia="Arial" w:hAnsi="Arial"/>
          <w:sz w:val="17"/>
          <w:szCs w:val="17"/>
          <w:u w:val="single" w:color="auto"/>
          <w:color w:val="0000EE"/>
        </w:rPr>
      </w:pPr>
      <w:r>
        <w:rPr>
          <w:rFonts w:ascii="Arial" w:cs="Arial" w:eastAsia="Arial" w:hAnsi="Arial"/>
          <w:sz w:val="17"/>
          <w:szCs w:val="17"/>
          <w:color w:val="auto"/>
        </w:rPr>
        <w:t>4.3</w:t>
      </w:r>
      <w:r>
        <w:rPr>
          <w:sz w:val="20"/>
          <w:szCs w:val="20"/>
          <w:color w:val="auto"/>
        </w:rPr>
        <w:tab/>
      </w:r>
      <w:hyperlink r:id="rId39">
        <w:r>
          <w:rPr>
            <w:rFonts w:ascii="Arial" w:cs="Arial" w:eastAsia="Arial" w:hAnsi="Arial"/>
            <w:sz w:val="17"/>
            <w:szCs w:val="17"/>
            <w:u w:val="single" w:color="auto"/>
            <w:color w:val="0000EE"/>
          </w:rPr>
          <w:t>Specimen Common Stock Certificate of the Company (incorporated by reference to Exhibit 4.2 to the Registration Statement on Form S-1</w:t>
        </w:r>
      </w:hyperlink>
      <w:r>
        <w:rPr>
          <w:rFonts w:ascii="Arial" w:cs="Arial" w:eastAsia="Arial" w:hAnsi="Arial"/>
          <w:sz w:val="17"/>
          <w:szCs w:val="17"/>
          <w:u w:val="single" w:color="auto"/>
          <w:color w:val="0000EE"/>
        </w:rPr>
        <w:t xml:space="preserve"> </w:t>
      </w:r>
      <w:hyperlink r:id="rId39">
        <w:r>
          <w:rPr>
            <w:rFonts w:ascii="Arial" w:cs="Arial" w:eastAsia="Arial" w:hAnsi="Arial"/>
            <w:sz w:val="17"/>
            <w:szCs w:val="17"/>
            <w:u w:val="single" w:color="auto"/>
            <w:color w:val="0000EE"/>
          </w:rPr>
          <w:t>January 4, 2021).</w:t>
        </w:r>
      </w:hyperlink>
    </w:p>
    <w:p>
      <w:pPr>
        <w:spacing w:after="0" w:line="65" w:lineRule="exact"/>
        <w:rPr>
          <w:sz w:val="20"/>
          <w:szCs w:val="20"/>
          <w:color w:val="auto"/>
        </w:rPr>
      </w:pPr>
    </w:p>
    <w:p>
      <w:pPr>
        <w:ind w:left="80"/>
        <w:spacing w:after="0"/>
        <w:tabs>
          <w:tab w:leader="none" w:pos="800" w:val="left"/>
        </w:tabs>
        <w:rPr>
          <w:rFonts w:ascii="Arial" w:cs="Arial" w:eastAsia="Arial" w:hAnsi="Arial"/>
          <w:sz w:val="15"/>
          <w:szCs w:val="15"/>
          <w:u w:val="single" w:color="auto"/>
          <w:color w:val="0000EE"/>
        </w:rPr>
      </w:pPr>
      <w:r>
        <w:rPr>
          <w:rFonts w:ascii="Arial" w:cs="Arial" w:eastAsia="Arial" w:hAnsi="Arial"/>
          <w:sz w:val="17"/>
          <w:szCs w:val="17"/>
          <w:color w:val="auto"/>
        </w:rPr>
        <w:t>5.1*</w:t>
      </w:r>
      <w:r>
        <w:rPr>
          <w:sz w:val="20"/>
          <w:szCs w:val="20"/>
          <w:color w:val="auto"/>
        </w:rPr>
        <w:tab/>
      </w:r>
      <w:hyperlink w:anchor="page9">
        <w:r>
          <w:rPr>
            <w:rFonts w:ascii="Arial" w:cs="Arial" w:eastAsia="Arial" w:hAnsi="Arial"/>
            <w:sz w:val="15"/>
            <w:szCs w:val="15"/>
            <w:u w:val="single" w:color="auto"/>
            <w:color w:val="0000EE"/>
          </w:rPr>
          <w:t>Opinion of Dentons US LLP.</w:t>
        </w:r>
      </w:hyperlink>
    </w:p>
    <w:p>
      <w:pPr>
        <w:spacing w:after="0" w:line="107" w:lineRule="exact"/>
        <w:rPr>
          <w:sz w:val="20"/>
          <w:szCs w:val="20"/>
          <w:color w:val="auto"/>
        </w:rPr>
      </w:pPr>
    </w:p>
    <w:p>
      <w:pPr>
        <w:spacing w:after="0"/>
        <w:tabs>
          <w:tab w:leader="none" w:pos="800" w:val="left"/>
        </w:tabs>
        <w:rPr>
          <w:rFonts w:ascii="Arial" w:cs="Arial" w:eastAsia="Arial" w:hAnsi="Arial"/>
          <w:sz w:val="15"/>
          <w:szCs w:val="15"/>
          <w:u w:val="single" w:color="auto"/>
          <w:color w:val="0000EE"/>
        </w:rPr>
      </w:pPr>
      <w:r>
        <w:rPr>
          <w:rFonts w:ascii="Arial" w:cs="Arial" w:eastAsia="Arial" w:hAnsi="Arial"/>
          <w:sz w:val="17"/>
          <w:szCs w:val="17"/>
          <w:color w:val="auto"/>
        </w:rPr>
        <w:t>23.1*</w:t>
      </w:r>
      <w:r>
        <w:rPr>
          <w:sz w:val="20"/>
          <w:szCs w:val="20"/>
          <w:color w:val="auto"/>
        </w:rPr>
        <w:tab/>
      </w:r>
      <w:hyperlink w:anchor="page11">
        <w:r>
          <w:rPr>
            <w:rFonts w:ascii="Arial" w:cs="Arial" w:eastAsia="Arial" w:hAnsi="Arial"/>
            <w:sz w:val="15"/>
            <w:szCs w:val="15"/>
            <w:u w:val="single" w:color="auto"/>
            <w:color w:val="0000EE"/>
          </w:rPr>
          <w:t>Consent of Marcum LLP, independent registered public accounting firm.</w:t>
        </w:r>
      </w:hyperlink>
    </w:p>
    <w:p>
      <w:pPr>
        <w:spacing w:after="0" w:line="107" w:lineRule="exact"/>
        <w:rPr>
          <w:sz w:val="20"/>
          <w:szCs w:val="20"/>
          <w:color w:val="auto"/>
        </w:rPr>
      </w:pPr>
    </w:p>
    <w:p>
      <w:pPr>
        <w:spacing w:after="0"/>
        <w:tabs>
          <w:tab w:leader="none" w:pos="800" w:val="left"/>
        </w:tabs>
        <w:rPr>
          <w:rFonts w:ascii="Arial" w:cs="Arial" w:eastAsia="Arial" w:hAnsi="Arial"/>
          <w:sz w:val="15"/>
          <w:szCs w:val="15"/>
          <w:u w:val="single" w:color="auto"/>
          <w:color w:val="0000EE"/>
        </w:rPr>
      </w:pPr>
      <w:r>
        <w:rPr>
          <w:rFonts w:ascii="Arial" w:cs="Arial" w:eastAsia="Arial" w:hAnsi="Arial"/>
          <w:sz w:val="17"/>
          <w:szCs w:val="17"/>
          <w:color w:val="auto"/>
        </w:rPr>
        <w:t>23.2*</w:t>
      </w:r>
      <w:r>
        <w:rPr>
          <w:sz w:val="20"/>
          <w:szCs w:val="20"/>
          <w:color w:val="auto"/>
        </w:rPr>
        <w:tab/>
      </w:r>
      <w:hyperlink w:anchor="page12">
        <w:r>
          <w:rPr>
            <w:rFonts w:ascii="Arial" w:cs="Arial" w:eastAsia="Arial" w:hAnsi="Arial"/>
            <w:sz w:val="15"/>
            <w:szCs w:val="15"/>
            <w:u w:val="single" w:color="auto"/>
            <w:color w:val="0000EE"/>
          </w:rPr>
          <w:t>Consent of Mayer Hoffman McCann P.C., independent registered public accounting firm.</w:t>
        </w:r>
      </w:hyperlink>
    </w:p>
    <w:p>
      <w:pPr>
        <w:spacing w:after="0" w:line="107" w:lineRule="exact"/>
        <w:rPr>
          <w:sz w:val="20"/>
          <w:szCs w:val="20"/>
          <w:color w:val="auto"/>
        </w:rPr>
      </w:pPr>
    </w:p>
    <w:p>
      <w:pPr>
        <w:spacing w:after="0"/>
        <w:tabs>
          <w:tab w:leader="none" w:pos="800" w:val="left"/>
        </w:tabs>
        <w:rPr>
          <w:rFonts w:ascii="Arial" w:cs="Arial" w:eastAsia="Arial" w:hAnsi="Arial"/>
          <w:sz w:val="15"/>
          <w:szCs w:val="15"/>
          <w:u w:val="single" w:color="auto"/>
          <w:color w:val="0000EE"/>
        </w:rPr>
      </w:pPr>
      <w:r>
        <w:rPr>
          <w:rFonts w:ascii="Arial" w:cs="Arial" w:eastAsia="Arial" w:hAnsi="Arial"/>
          <w:sz w:val="17"/>
          <w:szCs w:val="17"/>
          <w:color w:val="auto"/>
        </w:rPr>
        <w:t>23.3*</w:t>
      </w:r>
      <w:r>
        <w:rPr>
          <w:sz w:val="20"/>
          <w:szCs w:val="20"/>
          <w:color w:val="auto"/>
        </w:rPr>
        <w:tab/>
      </w:r>
      <w:hyperlink w:anchor="page9">
        <w:r>
          <w:rPr>
            <w:rFonts w:ascii="Arial" w:cs="Arial" w:eastAsia="Arial" w:hAnsi="Arial"/>
            <w:sz w:val="15"/>
            <w:szCs w:val="15"/>
            <w:u w:val="single" w:color="auto"/>
            <w:color w:val="0000EE"/>
          </w:rPr>
          <w:t>Consent of Dentons US LLP (included in Exhibit 5.1).</w:t>
        </w:r>
      </w:hyperlink>
    </w:p>
    <w:p>
      <w:pPr>
        <w:spacing w:after="0" w:line="107" w:lineRule="exact"/>
        <w:rPr>
          <w:sz w:val="20"/>
          <w:szCs w:val="20"/>
          <w:color w:val="auto"/>
        </w:rPr>
      </w:pPr>
    </w:p>
    <w:p>
      <w:pPr>
        <w:spacing w:after="0"/>
        <w:tabs>
          <w:tab w:leader="none" w:pos="800" w:val="left"/>
        </w:tabs>
        <w:rPr>
          <w:rFonts w:ascii="Arial" w:cs="Arial" w:eastAsia="Arial" w:hAnsi="Arial"/>
          <w:sz w:val="15"/>
          <w:szCs w:val="15"/>
          <w:u w:val="single" w:color="auto"/>
          <w:color w:val="0000EE"/>
        </w:rPr>
      </w:pPr>
      <w:r>
        <w:rPr>
          <w:rFonts w:ascii="Arial" w:cs="Arial" w:eastAsia="Arial" w:hAnsi="Arial"/>
          <w:sz w:val="17"/>
          <w:szCs w:val="17"/>
          <w:color w:val="auto"/>
        </w:rPr>
        <w:t>24.1*</w:t>
      </w:r>
      <w:r>
        <w:rPr>
          <w:sz w:val="20"/>
          <w:szCs w:val="20"/>
          <w:color w:val="auto"/>
        </w:rPr>
        <w:tab/>
      </w:r>
      <w:hyperlink w:anchor="page8">
        <w:r>
          <w:rPr>
            <w:rFonts w:ascii="Arial" w:cs="Arial" w:eastAsia="Arial" w:hAnsi="Arial"/>
            <w:sz w:val="15"/>
            <w:szCs w:val="15"/>
            <w:u w:val="single" w:color="auto"/>
            <w:color w:val="0000EE"/>
          </w:rPr>
          <w:t>Power of Attorney (included on signature page of this registration statement).</w:t>
        </w:r>
      </w:hyperlink>
    </w:p>
    <w:p>
      <w:pPr>
        <w:spacing w:after="0" w:line="107" w:lineRule="exact"/>
        <w:rPr>
          <w:sz w:val="20"/>
          <w:szCs w:val="20"/>
          <w:color w:val="auto"/>
        </w:rPr>
      </w:pPr>
    </w:p>
    <w:p>
      <w:pPr>
        <w:ind w:left="820" w:right="160" w:hanging="820"/>
        <w:spacing w:after="0" w:line="270" w:lineRule="auto"/>
        <w:tabs>
          <w:tab w:leader="none" w:pos="800" w:val="left"/>
        </w:tabs>
        <w:rPr>
          <w:rFonts w:ascii="Arial" w:cs="Arial" w:eastAsia="Arial" w:hAnsi="Arial"/>
          <w:sz w:val="17"/>
          <w:szCs w:val="17"/>
          <w:u w:val="single" w:color="auto"/>
          <w:color w:val="0000EE"/>
        </w:rPr>
      </w:pPr>
      <w:r>
        <w:rPr>
          <w:rFonts w:ascii="Arial" w:cs="Arial" w:eastAsia="Arial" w:hAnsi="Arial"/>
          <w:sz w:val="17"/>
          <w:szCs w:val="17"/>
          <w:color w:val="auto"/>
        </w:rPr>
        <w:t>99.1</w:t>
      </w:r>
      <w:r>
        <w:rPr>
          <w:sz w:val="20"/>
          <w:szCs w:val="20"/>
          <w:color w:val="auto"/>
        </w:rPr>
        <w:tab/>
      </w:r>
      <w:hyperlink r:id="rId40">
        <w:r>
          <w:rPr>
            <w:rFonts w:ascii="Arial" w:cs="Arial" w:eastAsia="Arial" w:hAnsi="Arial"/>
            <w:sz w:val="17"/>
            <w:szCs w:val="17"/>
            <w:u w:val="single" w:color="auto"/>
            <w:color w:val="0000EE"/>
          </w:rPr>
          <w:t>SAB Biotherapeutics, Inc. 2021 Omnibus Equity Incentive Plan (incorporated by reference to Annex G to the proxy statement/prospectus</w:t>
        </w:r>
      </w:hyperlink>
      <w:r>
        <w:rPr>
          <w:rFonts w:ascii="Arial" w:cs="Arial" w:eastAsia="Arial" w:hAnsi="Arial"/>
          <w:sz w:val="17"/>
          <w:szCs w:val="17"/>
          <w:u w:val="single" w:color="auto"/>
          <w:color w:val="0000EE"/>
        </w:rPr>
        <w:t xml:space="preserve"> </w:t>
      </w:r>
      <w:hyperlink r:id="rId40">
        <w:r>
          <w:rPr>
            <w:rFonts w:ascii="Arial" w:cs="Arial" w:eastAsia="Arial" w:hAnsi="Arial"/>
            <w:sz w:val="17"/>
            <w:szCs w:val="17"/>
            <w:u w:val="single" w:color="auto"/>
            <w:color w:val="0000EE"/>
          </w:rPr>
          <w:t>filed by the Company on September 24, 2021).</w:t>
        </w:r>
      </w:hyperlink>
    </w:p>
    <w:p>
      <w:pPr>
        <w:spacing w:after="0" w:line="65" w:lineRule="exact"/>
        <w:rPr>
          <w:sz w:val="20"/>
          <w:szCs w:val="20"/>
          <w:color w:val="auto"/>
        </w:rPr>
      </w:pPr>
    </w:p>
    <w:p>
      <w:pPr>
        <w:ind w:left="820" w:right="180" w:hanging="820"/>
        <w:spacing w:after="0" w:line="270" w:lineRule="auto"/>
        <w:tabs>
          <w:tab w:leader="none" w:pos="800" w:val="left"/>
        </w:tabs>
        <w:rPr>
          <w:rFonts w:ascii="Arial" w:cs="Arial" w:eastAsia="Arial" w:hAnsi="Arial"/>
          <w:sz w:val="17"/>
          <w:szCs w:val="17"/>
          <w:u w:val="single" w:color="auto"/>
          <w:color w:val="0000EE"/>
        </w:rPr>
      </w:pPr>
      <w:r>
        <w:rPr>
          <w:rFonts w:ascii="Arial" w:cs="Arial" w:eastAsia="Arial" w:hAnsi="Arial"/>
          <w:sz w:val="17"/>
          <w:szCs w:val="17"/>
          <w:color w:val="auto"/>
        </w:rPr>
        <w:t>99.2</w:t>
      </w:r>
      <w:r>
        <w:rPr>
          <w:sz w:val="20"/>
          <w:szCs w:val="20"/>
          <w:color w:val="auto"/>
        </w:rPr>
        <w:tab/>
      </w:r>
      <w:hyperlink r:id="rId40">
        <w:r>
          <w:rPr>
            <w:rFonts w:ascii="Arial" w:cs="Arial" w:eastAsia="Arial" w:hAnsi="Arial"/>
            <w:sz w:val="17"/>
            <w:szCs w:val="17"/>
            <w:u w:val="single" w:color="auto"/>
            <w:color w:val="0000EE"/>
          </w:rPr>
          <w:t>SAB Biotherapeutics, Inc. 2021 Employee Stock Purchase Plan (incorporated by reference to Annex H to the proxy statement/prospectus</w:t>
        </w:r>
      </w:hyperlink>
      <w:r>
        <w:rPr>
          <w:rFonts w:ascii="Arial" w:cs="Arial" w:eastAsia="Arial" w:hAnsi="Arial"/>
          <w:sz w:val="17"/>
          <w:szCs w:val="17"/>
          <w:u w:val="single" w:color="auto"/>
          <w:color w:val="0000EE"/>
        </w:rPr>
        <w:t xml:space="preserve"> </w:t>
      </w:r>
      <w:hyperlink r:id="rId40">
        <w:r>
          <w:rPr>
            <w:rFonts w:ascii="Arial" w:cs="Arial" w:eastAsia="Arial" w:hAnsi="Arial"/>
            <w:sz w:val="17"/>
            <w:szCs w:val="17"/>
            <w:u w:val="single" w:color="auto"/>
            <w:color w:val="0000EE"/>
          </w:rPr>
          <w:t>filed by the Company on September 24, 2021).</w:t>
        </w:r>
      </w:hyperlink>
    </w:p>
    <w:p>
      <w:pPr>
        <w:spacing w:after="0" w:line="65" w:lineRule="exact"/>
        <w:rPr>
          <w:sz w:val="20"/>
          <w:szCs w:val="20"/>
          <w:color w:val="auto"/>
        </w:rPr>
      </w:pPr>
    </w:p>
    <w:p>
      <w:pPr>
        <w:spacing w:after="0"/>
        <w:tabs>
          <w:tab w:leader="none" w:pos="800" w:val="left"/>
        </w:tabs>
        <w:rPr>
          <w:rFonts w:ascii="Arial" w:cs="Arial" w:eastAsia="Arial" w:hAnsi="Arial"/>
          <w:sz w:val="17"/>
          <w:szCs w:val="17"/>
          <w:u w:val="single" w:color="auto"/>
          <w:color w:val="0000EE"/>
        </w:rPr>
      </w:pPr>
      <w:r>
        <w:rPr>
          <w:rFonts w:ascii="Arial" w:cs="Arial" w:eastAsia="Arial" w:hAnsi="Arial"/>
          <w:sz w:val="17"/>
          <w:szCs w:val="17"/>
          <w:color w:val="auto"/>
        </w:rPr>
        <w:t>107*</w:t>
      </w:r>
      <w:r>
        <w:rPr>
          <w:sz w:val="20"/>
          <w:szCs w:val="20"/>
          <w:color w:val="auto"/>
        </w:rPr>
        <w:tab/>
      </w:r>
      <w:hyperlink w:anchor="page13">
        <w:r>
          <w:rPr>
            <w:rFonts w:ascii="Arial" w:cs="Arial" w:eastAsia="Arial" w:hAnsi="Arial"/>
            <w:sz w:val="17"/>
            <w:szCs w:val="17"/>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713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40"/>
          </w:cols>
          <w:pgMar w:left="800" w:top="266" w:right="859" w:bottom="1440" w:gutter="0" w:footer="0" w:header="0"/>
        </w:sectPr>
      </w:pPr>
    </w:p>
    <w:bookmarkStart w:id="5" w:name="page6"/>
    <w:bookmarkEnd w:id="5"/>
    <w:p>
      <w:pPr>
        <w:spacing w:after="0"/>
        <w:tabs>
          <w:tab w:leader="none" w:pos="10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color w:val="auto"/>
        </w:rPr>
        <w:t>Undertakings.</w:t>
      </w:r>
    </w:p>
    <w:p>
      <w:pPr>
        <w:spacing w:after="0" w:line="111" w:lineRule="exact"/>
        <w:rPr>
          <w:sz w:val="20"/>
          <w:szCs w:val="20"/>
          <w:color w:val="auto"/>
        </w:rPr>
      </w:pPr>
    </w:p>
    <w:p>
      <w:pPr>
        <w:ind w:left="760" w:hanging="354"/>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 hereby undertakes:</w:t>
      </w:r>
    </w:p>
    <w:p>
      <w:pPr>
        <w:spacing w:after="0" w:line="208" w:lineRule="exact"/>
        <w:rPr>
          <w:rFonts w:ascii="Arial" w:cs="Arial" w:eastAsia="Arial" w:hAnsi="Arial"/>
          <w:sz w:val="17"/>
          <w:szCs w:val="17"/>
          <w:color w:val="auto"/>
        </w:rPr>
      </w:pPr>
    </w:p>
    <w:p>
      <w:pPr>
        <w:ind w:left="2200" w:hanging="352"/>
        <w:spacing w:after="0"/>
        <w:tabs>
          <w:tab w:leader="none" w:pos="2200" w:val="left"/>
        </w:tabs>
        <w:numPr>
          <w:ilvl w:val="1"/>
          <w:numId w:val="6"/>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Statement:</w:t>
      </w:r>
    </w:p>
    <w:p>
      <w:pPr>
        <w:spacing w:after="0" w:line="196" w:lineRule="exact"/>
        <w:rPr>
          <w:rFonts w:ascii="Arial" w:cs="Arial" w:eastAsia="Arial" w:hAnsi="Arial"/>
          <w:sz w:val="16"/>
          <w:szCs w:val="16"/>
          <w:color w:val="auto"/>
        </w:rPr>
      </w:pPr>
    </w:p>
    <w:p>
      <w:pPr>
        <w:ind w:left="2580" w:hanging="320"/>
        <w:spacing w:after="0"/>
        <w:tabs>
          <w:tab w:leader="none" w:pos="2580" w:val="left"/>
        </w:tabs>
        <w:numPr>
          <w:ilvl w:val="2"/>
          <w:numId w:val="6"/>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w:t>
      </w:r>
    </w:p>
    <w:p>
      <w:pPr>
        <w:spacing w:after="0" w:line="208" w:lineRule="exact"/>
        <w:rPr>
          <w:rFonts w:ascii="Arial" w:cs="Arial" w:eastAsia="Arial" w:hAnsi="Arial"/>
          <w:sz w:val="17"/>
          <w:szCs w:val="17"/>
          <w:color w:val="auto"/>
        </w:rPr>
      </w:pPr>
    </w:p>
    <w:p>
      <w:pPr>
        <w:ind w:firstLine="2260"/>
        <w:spacing w:after="0" w:line="251" w:lineRule="auto"/>
        <w:tabs>
          <w:tab w:leader="none" w:pos="2637" w:val="left"/>
        </w:tabs>
        <w:numPr>
          <w:ilvl w:val="2"/>
          <w:numId w:val="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4" w:lineRule="exact"/>
        <w:rPr>
          <w:rFonts w:ascii="Arial" w:cs="Arial" w:eastAsia="Arial" w:hAnsi="Arial"/>
          <w:sz w:val="17"/>
          <w:szCs w:val="17"/>
          <w:color w:val="auto"/>
        </w:rPr>
      </w:pPr>
    </w:p>
    <w:p>
      <w:pPr>
        <w:ind w:right="460" w:firstLine="2260"/>
        <w:spacing w:after="0" w:line="270" w:lineRule="auto"/>
        <w:tabs>
          <w:tab w:leader="none" w:pos="2683" w:val="left"/>
        </w:tabs>
        <w:numPr>
          <w:ilvl w:val="2"/>
          <w:numId w:val="6"/>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66" w:lineRule="exact"/>
        <w:rPr>
          <w:sz w:val="20"/>
          <w:szCs w:val="20"/>
          <w:color w:val="auto"/>
        </w:rPr>
      </w:pPr>
    </w:p>
    <w:p>
      <w:pPr>
        <w:ind w:right="560" w:firstLine="412"/>
        <w:spacing w:after="0" w:line="309" w:lineRule="auto"/>
        <w:rPr>
          <w:sz w:val="20"/>
          <w:szCs w:val="20"/>
          <w:color w:val="auto"/>
        </w:rPr>
      </w:pPr>
      <w:r>
        <w:rPr>
          <w:rFonts w:ascii="Arial" w:cs="Arial" w:eastAsia="Arial" w:hAnsi="Arial"/>
          <w:sz w:val="15"/>
          <w:szCs w:val="15"/>
          <w:i w:val="1"/>
          <w:iCs w:val="1"/>
          <w:color w:val="auto"/>
        </w:rPr>
        <w:t>Provided, however</w:t>
      </w:r>
      <w:r>
        <w:rPr>
          <w:rFonts w:ascii="Arial" w:cs="Arial" w:eastAsia="Arial" w:hAnsi="Arial"/>
          <w:sz w:val="15"/>
          <w:szCs w:val="15"/>
          <w:color w:val="auto"/>
        </w:rPr>
        <w:t>, that paragraphs (a)(1)(i) and (a)(1)(ii) herein do not apply if the information required to be included in a post-effective</w:t>
      </w:r>
      <w:r>
        <w:rPr>
          <w:rFonts w:ascii="Arial" w:cs="Arial" w:eastAsia="Arial" w:hAnsi="Arial"/>
          <w:sz w:val="15"/>
          <w:szCs w:val="15"/>
          <w:i w:val="1"/>
          <w:iCs w:val="1"/>
          <w:color w:val="auto"/>
        </w:rPr>
        <w:t xml:space="preserve"> </w:t>
      </w:r>
      <w:r>
        <w:rPr>
          <w:rFonts w:ascii="Arial" w:cs="Arial" w:eastAsia="Arial" w:hAnsi="Arial"/>
          <w:sz w:val="15"/>
          <w:szCs w:val="15"/>
          <w:color w:val="auto"/>
        </w:rPr>
        <w:t>amendment by 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142" w:lineRule="exact"/>
        <w:rPr>
          <w:sz w:val="20"/>
          <w:szCs w:val="20"/>
          <w:color w:val="auto"/>
        </w:rPr>
      </w:pPr>
    </w:p>
    <w:p>
      <w:pPr>
        <w:ind w:right="20" w:firstLine="1848"/>
        <w:spacing w:after="0" w:line="259" w:lineRule="auto"/>
        <w:tabs>
          <w:tab w:leader="none" w:pos="2215" w:val="left"/>
        </w:tabs>
        <w:numPr>
          <w:ilvl w:val="1"/>
          <w:numId w:val="7"/>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4" w:lineRule="exact"/>
        <w:rPr>
          <w:rFonts w:ascii="Arial" w:cs="Arial" w:eastAsia="Arial" w:hAnsi="Arial"/>
          <w:sz w:val="17"/>
          <w:szCs w:val="17"/>
          <w:color w:val="auto"/>
        </w:rPr>
      </w:pPr>
    </w:p>
    <w:p>
      <w:pPr>
        <w:ind w:right="440" w:firstLine="1848"/>
        <w:spacing w:after="0" w:line="270" w:lineRule="auto"/>
        <w:tabs>
          <w:tab w:leader="none" w:pos="2215" w:val="left"/>
        </w:tabs>
        <w:numPr>
          <w:ilvl w:val="1"/>
          <w:numId w:val="7"/>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66" w:lineRule="exact"/>
        <w:rPr>
          <w:rFonts w:ascii="Arial" w:cs="Arial" w:eastAsia="Arial" w:hAnsi="Arial"/>
          <w:sz w:val="17"/>
          <w:szCs w:val="17"/>
          <w:color w:val="auto"/>
        </w:rPr>
      </w:pPr>
    </w:p>
    <w:p>
      <w:pPr>
        <w:ind w:firstLine="406"/>
        <w:spacing w:after="0" w:line="253" w:lineRule="auto"/>
        <w:tabs>
          <w:tab w:leader="none" w:pos="77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7"/>
          <w:szCs w:val="17"/>
          <w:color w:val="auto"/>
        </w:rPr>
      </w:pPr>
    </w:p>
    <w:p>
      <w:pPr>
        <w:ind w:right="20" w:firstLine="406"/>
        <w:spacing w:after="0" w:line="269" w:lineRule="auto"/>
        <w:tabs>
          <w:tab w:leader="none" w:pos="767"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80"/>
          </w:cols>
          <w:pgMar w:left="800" w:top="262" w:right="81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SIGNATURES</w:t>
      </w:r>
    </w:p>
    <w:p>
      <w:pPr>
        <w:spacing w:after="0" w:line="111" w:lineRule="exact"/>
        <w:rPr>
          <w:sz w:val="20"/>
          <w:szCs w:val="20"/>
          <w:color w:val="auto"/>
        </w:rPr>
      </w:pPr>
    </w:p>
    <w:p>
      <w:pPr>
        <w:jc w:val="both"/>
        <w:ind w:right="600"/>
        <w:spacing w:after="0" w:line="259"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Sioux Falls, South Dakota, on February 1, 2022.</w:t>
      </w:r>
    </w:p>
    <w:p>
      <w:pPr>
        <w:spacing w:after="0" w:line="196"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SAB BIOTHERAPEUTICS, INC</w:t>
      </w:r>
      <w:r>
        <w:rPr>
          <w:rFonts w:ascii="Arial" w:cs="Arial" w:eastAsia="Arial" w:hAnsi="Arial"/>
          <w:sz w:val="17"/>
          <w:szCs w:val="17"/>
          <w:color w:val="auto"/>
        </w:rPr>
        <w:t>.</w:t>
      </w:r>
    </w:p>
    <w:p>
      <w:pPr>
        <w:spacing w:after="0" w:line="212" w:lineRule="exact"/>
        <w:rPr>
          <w:sz w:val="20"/>
          <w:szCs w:val="20"/>
          <w:color w:val="auto"/>
        </w:rPr>
      </w:pPr>
    </w:p>
    <w:tbl>
      <w:tblPr>
        <w:tblLayout w:type="fixed"/>
        <w:tblInd w:w="6180" w:type="dxa"/>
        <w:tblCellMar>
          <w:top w:w="0" w:type="dxa"/>
          <w:left w:w="0" w:type="dxa"/>
          <w:bottom w:w="0" w:type="dxa"/>
          <w:right w:w="0" w:type="dxa"/>
        </w:tblCellMar>
      </w:tblPr>
      <w:tr>
        <w:trPr>
          <w:trHeight w:val="214"/>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Eddie J. Sullivan</w:t>
            </w:r>
          </w:p>
        </w:tc>
      </w:tr>
      <w:tr>
        <w:trPr>
          <w:trHeight w:val="195"/>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3580" w:type="dxa"/>
            <w:vAlign w:val="bottom"/>
          </w:tcPr>
          <w:p>
            <w:pPr>
              <w:spacing w:after="0"/>
              <w:rPr>
                <w:sz w:val="20"/>
                <w:szCs w:val="20"/>
                <w:color w:val="auto"/>
              </w:rPr>
            </w:pPr>
            <w:r>
              <w:rPr>
                <w:rFonts w:ascii="Arial" w:cs="Arial" w:eastAsia="Arial" w:hAnsi="Arial"/>
                <w:sz w:val="17"/>
                <w:szCs w:val="17"/>
                <w:color w:val="auto"/>
              </w:rPr>
              <w:t>Eddie J. Sullivan</w:t>
            </w:r>
          </w:p>
        </w:tc>
      </w:tr>
      <w:tr>
        <w:trPr>
          <w:trHeight w:val="214"/>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358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300"/>
          </w:cols>
          <w:pgMar w:left="800" w:top="262" w:right="79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POWER OF ATTORNEY AND SIGNATURES</w:t>
      </w:r>
    </w:p>
    <w:p>
      <w:pPr>
        <w:spacing w:after="0" w:line="212"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KNOW ALL PERSONS BY THESE PRESENTS, that each individual whose signature appears below hereby constitutes and appoints each of Eddie J. Sullivan and Russell Beyer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5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 in the capacities and on the date indicated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66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Signature</w:t>
            </w:r>
          </w:p>
        </w:tc>
        <w:tc>
          <w:tcPr>
            <w:tcW w:w="16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 w:type="dxa"/>
            <w:vAlign w:val="bottom"/>
          </w:tcPr>
          <w:p>
            <w:pPr>
              <w:jc w:val="center"/>
              <w:spacing w:after="0"/>
              <w:rPr>
                <w:sz w:val="20"/>
                <w:szCs w:val="20"/>
                <w:color w:val="auto"/>
              </w:rPr>
            </w:pPr>
            <w:r>
              <w:rPr>
                <w:rFonts w:ascii="Arial" w:cs="Arial" w:eastAsia="Arial" w:hAnsi="Arial"/>
                <w:sz w:val="13"/>
                <w:szCs w:val="13"/>
                <w:b w:val="1"/>
                <w:bCs w:val="1"/>
                <w:color w:val="auto"/>
                <w:w w:val="97"/>
              </w:rPr>
              <w:t>Title</w:t>
            </w:r>
          </w:p>
        </w:tc>
        <w:tc>
          <w:tcPr>
            <w:tcW w:w="2100" w:type="dxa"/>
            <w:vAlign w:val="bottom"/>
          </w:tcPr>
          <w:p>
            <w:pPr>
              <w:spacing w:after="0"/>
              <w:rPr>
                <w:sz w:val="13"/>
                <w:szCs w:val="13"/>
                <w:color w:val="auto"/>
              </w:rPr>
            </w:pPr>
          </w:p>
        </w:tc>
        <w:tc>
          <w:tcPr>
            <w:tcW w:w="1540" w:type="dxa"/>
            <w:vAlign w:val="bottom"/>
            <w:gridSpan w:val="3"/>
          </w:tcPr>
          <w:p>
            <w:pPr>
              <w:jc w:val="center"/>
              <w:ind w:left="278"/>
              <w:spacing w:after="0"/>
              <w:rPr>
                <w:sz w:val="20"/>
                <w:szCs w:val="20"/>
                <w:color w:val="auto"/>
              </w:rPr>
            </w:pPr>
            <w:r>
              <w:rPr>
                <w:rFonts w:ascii="Arial" w:cs="Arial" w:eastAsia="Arial" w:hAnsi="Arial"/>
                <w:sz w:val="13"/>
                <w:szCs w:val="13"/>
                <w:b w:val="1"/>
                <w:bCs w:val="1"/>
                <w:color w:val="auto"/>
                <w:w w:val="92"/>
              </w:rPr>
              <w:t>Date</w:t>
            </w:r>
          </w:p>
        </w:tc>
      </w:tr>
      <w:tr>
        <w:trPr>
          <w:trHeight w:val="20"/>
        </w:trPr>
        <w:tc>
          <w:tcPr>
            <w:tcW w:w="1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96"/>
        </w:trPr>
        <w:tc>
          <w:tcPr>
            <w:tcW w:w="39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0"/>
              </w:rPr>
              <w:t xml:space="preserve">/s/ </w:t>
            </w:r>
            <w:r>
              <w:rPr>
                <w:rFonts w:ascii="Arial" w:cs="Arial" w:eastAsia="Arial" w:hAnsi="Arial"/>
                <w:sz w:val="17"/>
                <w:szCs w:val="17"/>
                <w:i w:val="1"/>
                <w:iCs w:val="1"/>
                <w:color w:val="auto"/>
                <w:w w:val="90"/>
              </w:rPr>
              <w:t>Eddie J. Sullivan</w:t>
            </w:r>
          </w:p>
        </w:tc>
        <w:tc>
          <w:tcPr>
            <w:tcW w:w="4600" w:type="dxa"/>
            <w:vAlign w:val="bottom"/>
            <w:gridSpan w:val="3"/>
          </w:tcPr>
          <w:p>
            <w:pPr>
              <w:jc w:val="center"/>
              <w:ind w:left="56"/>
              <w:spacing w:after="0"/>
              <w:rPr>
                <w:sz w:val="20"/>
                <w:szCs w:val="20"/>
                <w:color w:val="auto"/>
              </w:rPr>
            </w:pPr>
            <w:r>
              <w:rPr>
                <w:rFonts w:ascii="Arial" w:cs="Arial" w:eastAsia="Arial" w:hAnsi="Arial"/>
                <w:sz w:val="17"/>
                <w:szCs w:val="17"/>
                <w:color w:val="auto"/>
                <w:w w:val="93"/>
              </w:rPr>
              <w:t>Chief Executive Officer</w:t>
            </w:r>
          </w:p>
        </w:tc>
        <w:tc>
          <w:tcPr>
            <w:tcW w:w="1540" w:type="dxa"/>
            <w:vAlign w:val="bottom"/>
            <w:gridSpan w:val="3"/>
          </w:tcPr>
          <w:p>
            <w:pPr>
              <w:jc w:val="center"/>
              <w:ind w:left="298"/>
              <w:spacing w:after="0"/>
              <w:rPr>
                <w:sz w:val="20"/>
                <w:szCs w:val="20"/>
                <w:color w:val="auto"/>
              </w:rPr>
            </w:pPr>
            <w:r>
              <w:rPr>
                <w:rFonts w:ascii="Arial" w:cs="Arial" w:eastAsia="Arial" w:hAnsi="Arial"/>
                <w:sz w:val="17"/>
                <w:szCs w:val="17"/>
                <w:color w:val="auto"/>
                <w:w w:val="89"/>
              </w:rPr>
              <w:t>February 1, 2022</w:t>
            </w:r>
          </w:p>
        </w:tc>
      </w:tr>
      <w:tr>
        <w:trPr>
          <w:trHeight w:val="207"/>
        </w:trPr>
        <w:tc>
          <w:tcPr>
            <w:tcW w:w="3920" w:type="dxa"/>
            <w:vAlign w:val="bottom"/>
            <w:gridSpan w:val="3"/>
          </w:tcPr>
          <w:p>
            <w:pPr>
              <w:jc w:val="center"/>
              <w:ind w:right="20"/>
              <w:spacing w:after="0"/>
              <w:rPr>
                <w:sz w:val="20"/>
                <w:szCs w:val="20"/>
                <w:color w:val="auto"/>
              </w:rPr>
            </w:pPr>
            <w:r>
              <w:rPr>
                <w:rFonts w:ascii="Arial" w:cs="Arial" w:eastAsia="Arial" w:hAnsi="Arial"/>
                <w:sz w:val="17"/>
                <w:szCs w:val="17"/>
                <w:color w:val="auto"/>
                <w:w w:val="90"/>
              </w:rPr>
              <w:t>Eddie J. Sullivan</w:t>
            </w:r>
          </w:p>
        </w:tc>
        <w:tc>
          <w:tcPr>
            <w:tcW w:w="4600" w:type="dxa"/>
            <w:vAlign w:val="bottom"/>
            <w:gridSpan w:val="3"/>
          </w:tcPr>
          <w:p>
            <w:pPr>
              <w:jc w:val="center"/>
              <w:ind w:left="36"/>
              <w:spacing w:after="0"/>
              <w:rPr>
                <w:sz w:val="20"/>
                <w:szCs w:val="20"/>
                <w:color w:val="auto"/>
              </w:rPr>
            </w:pPr>
            <w:r>
              <w:rPr>
                <w:rFonts w:ascii="Arial" w:cs="Arial" w:eastAsia="Arial" w:hAnsi="Arial"/>
                <w:sz w:val="17"/>
                <w:szCs w:val="17"/>
                <w:color w:val="auto"/>
                <w:w w:val="93"/>
              </w:rPr>
              <w:t>(Principal Executive Officer)</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04"/>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87"/>
              </w:rPr>
              <w:t xml:space="preserve">/s/ </w:t>
            </w:r>
            <w:r>
              <w:rPr>
                <w:rFonts w:ascii="Arial" w:cs="Arial" w:eastAsia="Arial" w:hAnsi="Arial"/>
                <w:sz w:val="17"/>
                <w:szCs w:val="17"/>
                <w:i w:val="1"/>
                <w:iCs w:val="1"/>
                <w:color w:val="auto"/>
                <w:w w:val="87"/>
              </w:rPr>
              <w:t>Russell Beyer</w:t>
            </w:r>
          </w:p>
        </w:tc>
        <w:tc>
          <w:tcPr>
            <w:tcW w:w="4600" w:type="dxa"/>
            <w:vAlign w:val="bottom"/>
            <w:gridSpan w:val="3"/>
          </w:tcPr>
          <w:p>
            <w:pPr>
              <w:jc w:val="center"/>
              <w:ind w:left="56"/>
              <w:spacing w:after="0"/>
              <w:rPr>
                <w:sz w:val="20"/>
                <w:szCs w:val="20"/>
                <w:color w:val="auto"/>
              </w:rPr>
            </w:pPr>
            <w:r>
              <w:rPr>
                <w:rFonts w:ascii="Arial" w:cs="Arial" w:eastAsia="Arial" w:hAnsi="Arial"/>
                <w:sz w:val="17"/>
                <w:szCs w:val="17"/>
                <w:color w:val="auto"/>
                <w:w w:val="92"/>
              </w:rPr>
              <w:t>Chief Financial Officer (Principal Financial Officer and</w:t>
            </w:r>
          </w:p>
        </w:tc>
        <w:tc>
          <w:tcPr>
            <w:tcW w:w="1540" w:type="dxa"/>
            <w:vAlign w:val="bottom"/>
            <w:gridSpan w:val="3"/>
          </w:tcPr>
          <w:p>
            <w:pPr>
              <w:jc w:val="center"/>
              <w:ind w:left="298"/>
              <w:spacing w:after="0"/>
              <w:rPr>
                <w:sz w:val="20"/>
                <w:szCs w:val="20"/>
                <w:color w:val="auto"/>
              </w:rPr>
            </w:pPr>
            <w:r>
              <w:rPr>
                <w:rFonts w:ascii="Arial" w:cs="Arial" w:eastAsia="Arial" w:hAnsi="Arial"/>
                <w:sz w:val="17"/>
                <w:szCs w:val="17"/>
                <w:color w:val="auto"/>
                <w:w w:val="89"/>
              </w:rPr>
              <w:t>February 1, 2022</w:t>
            </w:r>
          </w:p>
        </w:tc>
      </w:tr>
      <w:tr>
        <w:trPr>
          <w:trHeight w:val="207"/>
        </w:trPr>
        <w:tc>
          <w:tcPr>
            <w:tcW w:w="3920" w:type="dxa"/>
            <w:vAlign w:val="bottom"/>
            <w:gridSpan w:val="3"/>
          </w:tcPr>
          <w:p>
            <w:pPr>
              <w:jc w:val="center"/>
              <w:ind w:right="20"/>
              <w:spacing w:after="0"/>
              <w:rPr>
                <w:sz w:val="20"/>
                <w:szCs w:val="20"/>
                <w:color w:val="auto"/>
              </w:rPr>
            </w:pPr>
            <w:r>
              <w:rPr>
                <w:rFonts w:ascii="Arial" w:cs="Arial" w:eastAsia="Arial" w:hAnsi="Arial"/>
                <w:sz w:val="17"/>
                <w:szCs w:val="17"/>
                <w:color w:val="auto"/>
                <w:w w:val="89"/>
              </w:rPr>
              <w:t>Russell Beyer</w:t>
            </w:r>
          </w:p>
        </w:tc>
        <w:tc>
          <w:tcPr>
            <w:tcW w:w="4600" w:type="dxa"/>
            <w:vAlign w:val="bottom"/>
            <w:gridSpan w:val="3"/>
          </w:tcPr>
          <w:p>
            <w:pPr>
              <w:jc w:val="center"/>
              <w:ind w:left="56"/>
              <w:spacing w:after="0"/>
              <w:rPr>
                <w:sz w:val="20"/>
                <w:szCs w:val="20"/>
                <w:color w:val="auto"/>
              </w:rPr>
            </w:pPr>
            <w:r>
              <w:rPr>
                <w:rFonts w:ascii="Arial" w:cs="Arial" w:eastAsia="Arial" w:hAnsi="Arial"/>
                <w:sz w:val="17"/>
                <w:szCs w:val="17"/>
                <w:color w:val="auto"/>
                <w:w w:val="94"/>
              </w:rPr>
              <w:t>Principal Accounting Officer)</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04"/>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87"/>
              </w:rPr>
              <w:t xml:space="preserve">/s/ </w:t>
            </w:r>
            <w:r>
              <w:rPr>
                <w:rFonts w:ascii="Arial" w:cs="Arial" w:eastAsia="Arial" w:hAnsi="Arial"/>
                <w:sz w:val="17"/>
                <w:szCs w:val="17"/>
                <w:i w:val="1"/>
                <w:iCs w:val="1"/>
                <w:color w:val="auto"/>
                <w:w w:val="87"/>
              </w:rPr>
              <w:t>Samuel J. Reich</w:t>
            </w:r>
          </w:p>
        </w:tc>
        <w:tc>
          <w:tcPr>
            <w:tcW w:w="4600" w:type="dxa"/>
            <w:vAlign w:val="bottom"/>
            <w:gridSpan w:val="3"/>
          </w:tcPr>
          <w:p>
            <w:pPr>
              <w:jc w:val="center"/>
              <w:ind w:left="56"/>
              <w:spacing w:after="0"/>
              <w:rPr>
                <w:sz w:val="20"/>
                <w:szCs w:val="20"/>
                <w:color w:val="auto"/>
              </w:rPr>
            </w:pPr>
            <w:r>
              <w:rPr>
                <w:rFonts w:ascii="Arial" w:cs="Arial" w:eastAsia="Arial" w:hAnsi="Arial"/>
                <w:sz w:val="17"/>
                <w:szCs w:val="17"/>
                <w:color w:val="auto"/>
                <w:w w:val="90"/>
              </w:rPr>
              <w:t>Director and Executive Chairman</w:t>
            </w:r>
          </w:p>
        </w:tc>
        <w:tc>
          <w:tcPr>
            <w:tcW w:w="1540" w:type="dxa"/>
            <w:vAlign w:val="bottom"/>
            <w:gridSpan w:val="3"/>
          </w:tcPr>
          <w:p>
            <w:pPr>
              <w:jc w:val="center"/>
              <w:ind w:left="298"/>
              <w:spacing w:after="0"/>
              <w:rPr>
                <w:sz w:val="20"/>
                <w:szCs w:val="20"/>
                <w:color w:val="auto"/>
              </w:rPr>
            </w:pPr>
            <w:r>
              <w:rPr>
                <w:rFonts w:ascii="Arial" w:cs="Arial" w:eastAsia="Arial" w:hAnsi="Arial"/>
                <w:sz w:val="17"/>
                <w:szCs w:val="17"/>
                <w:color w:val="auto"/>
                <w:w w:val="89"/>
              </w:rPr>
              <w:t>February 1, 2022</w:t>
            </w:r>
          </w:p>
        </w:tc>
      </w:tr>
      <w:tr>
        <w:trPr>
          <w:trHeight w:val="207"/>
        </w:trPr>
        <w:tc>
          <w:tcPr>
            <w:tcW w:w="3920" w:type="dxa"/>
            <w:vAlign w:val="bottom"/>
            <w:gridSpan w:val="3"/>
          </w:tcPr>
          <w:p>
            <w:pPr>
              <w:jc w:val="center"/>
              <w:ind w:right="20"/>
              <w:spacing w:after="0"/>
              <w:rPr>
                <w:sz w:val="20"/>
                <w:szCs w:val="20"/>
                <w:color w:val="auto"/>
              </w:rPr>
            </w:pPr>
            <w:r>
              <w:rPr>
                <w:rFonts w:ascii="Arial" w:cs="Arial" w:eastAsia="Arial" w:hAnsi="Arial"/>
                <w:sz w:val="17"/>
                <w:szCs w:val="17"/>
                <w:color w:val="auto"/>
                <w:w w:val="88"/>
              </w:rPr>
              <w:t>Samuel J. Reich</w:t>
            </w:r>
          </w:p>
        </w:tc>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04"/>
        </w:trPr>
        <w:tc>
          <w:tcPr>
            <w:tcW w:w="39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2"/>
              </w:rPr>
              <w:t xml:space="preserve">/s/ </w:t>
            </w:r>
            <w:r>
              <w:rPr>
                <w:rFonts w:ascii="Arial" w:cs="Arial" w:eastAsia="Arial" w:hAnsi="Arial"/>
                <w:sz w:val="17"/>
                <w:szCs w:val="17"/>
                <w:i w:val="1"/>
                <w:iCs w:val="1"/>
                <w:color w:val="auto"/>
                <w:w w:val="92"/>
              </w:rPr>
              <w:t>David Link</w:t>
            </w:r>
          </w:p>
        </w:tc>
        <w:tc>
          <w:tcPr>
            <w:tcW w:w="4600" w:type="dxa"/>
            <w:vAlign w:val="bottom"/>
            <w:gridSpan w:val="3"/>
          </w:tcPr>
          <w:p>
            <w:pPr>
              <w:jc w:val="center"/>
              <w:ind w:left="36"/>
              <w:spacing w:after="0"/>
              <w:rPr>
                <w:sz w:val="20"/>
                <w:szCs w:val="20"/>
                <w:color w:val="auto"/>
              </w:rPr>
            </w:pPr>
            <w:r>
              <w:rPr>
                <w:rFonts w:ascii="Arial" w:cs="Arial" w:eastAsia="Arial" w:hAnsi="Arial"/>
                <w:sz w:val="17"/>
                <w:szCs w:val="17"/>
                <w:color w:val="auto"/>
                <w:w w:val="94"/>
              </w:rPr>
              <w:t>Director</w:t>
            </w:r>
          </w:p>
        </w:tc>
        <w:tc>
          <w:tcPr>
            <w:tcW w:w="1540" w:type="dxa"/>
            <w:vAlign w:val="bottom"/>
            <w:gridSpan w:val="3"/>
          </w:tcPr>
          <w:p>
            <w:pPr>
              <w:jc w:val="center"/>
              <w:ind w:left="298"/>
              <w:spacing w:after="0"/>
              <w:rPr>
                <w:sz w:val="20"/>
                <w:szCs w:val="20"/>
                <w:color w:val="auto"/>
              </w:rPr>
            </w:pPr>
            <w:r>
              <w:rPr>
                <w:rFonts w:ascii="Arial" w:cs="Arial" w:eastAsia="Arial" w:hAnsi="Arial"/>
                <w:sz w:val="17"/>
                <w:szCs w:val="17"/>
                <w:color w:val="auto"/>
                <w:w w:val="89"/>
              </w:rPr>
              <w:t>February 1, 2022</w:t>
            </w:r>
          </w:p>
        </w:tc>
      </w:tr>
      <w:tr>
        <w:trPr>
          <w:trHeight w:val="207"/>
        </w:trPr>
        <w:tc>
          <w:tcPr>
            <w:tcW w:w="3920" w:type="dxa"/>
            <w:vAlign w:val="bottom"/>
            <w:gridSpan w:val="3"/>
          </w:tcPr>
          <w:p>
            <w:pPr>
              <w:jc w:val="center"/>
              <w:ind w:right="20"/>
              <w:spacing w:after="0"/>
              <w:rPr>
                <w:sz w:val="20"/>
                <w:szCs w:val="20"/>
                <w:color w:val="auto"/>
              </w:rPr>
            </w:pPr>
            <w:r>
              <w:rPr>
                <w:rFonts w:ascii="Arial" w:cs="Arial" w:eastAsia="Arial" w:hAnsi="Arial"/>
                <w:sz w:val="17"/>
                <w:szCs w:val="17"/>
                <w:color w:val="auto"/>
                <w:w w:val="98"/>
              </w:rPr>
              <w:t>David Link</w:t>
            </w:r>
          </w:p>
        </w:tc>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04"/>
        </w:trPr>
        <w:tc>
          <w:tcPr>
            <w:tcW w:w="39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3"/>
              </w:rPr>
              <w:t xml:space="preserve">/s/ </w:t>
            </w:r>
            <w:r>
              <w:rPr>
                <w:rFonts w:ascii="Arial" w:cs="Arial" w:eastAsia="Arial" w:hAnsi="Arial"/>
                <w:sz w:val="17"/>
                <w:szCs w:val="17"/>
                <w:i w:val="1"/>
                <w:iCs w:val="1"/>
                <w:color w:val="auto"/>
                <w:w w:val="93"/>
              </w:rPr>
              <w:t>Christine Hamilton, MBA</w:t>
            </w:r>
          </w:p>
        </w:tc>
        <w:tc>
          <w:tcPr>
            <w:tcW w:w="4600" w:type="dxa"/>
            <w:vAlign w:val="bottom"/>
            <w:gridSpan w:val="3"/>
          </w:tcPr>
          <w:p>
            <w:pPr>
              <w:jc w:val="center"/>
              <w:ind w:left="36"/>
              <w:spacing w:after="0"/>
              <w:rPr>
                <w:sz w:val="20"/>
                <w:szCs w:val="20"/>
                <w:color w:val="auto"/>
              </w:rPr>
            </w:pPr>
            <w:r>
              <w:rPr>
                <w:rFonts w:ascii="Arial" w:cs="Arial" w:eastAsia="Arial" w:hAnsi="Arial"/>
                <w:sz w:val="17"/>
                <w:szCs w:val="17"/>
                <w:color w:val="auto"/>
                <w:w w:val="94"/>
              </w:rPr>
              <w:t>Director</w:t>
            </w:r>
          </w:p>
        </w:tc>
        <w:tc>
          <w:tcPr>
            <w:tcW w:w="1540" w:type="dxa"/>
            <w:vAlign w:val="bottom"/>
            <w:gridSpan w:val="3"/>
          </w:tcPr>
          <w:p>
            <w:pPr>
              <w:jc w:val="center"/>
              <w:ind w:left="298"/>
              <w:spacing w:after="0"/>
              <w:rPr>
                <w:sz w:val="20"/>
                <w:szCs w:val="20"/>
                <w:color w:val="auto"/>
              </w:rPr>
            </w:pPr>
            <w:r>
              <w:rPr>
                <w:rFonts w:ascii="Arial" w:cs="Arial" w:eastAsia="Arial" w:hAnsi="Arial"/>
                <w:sz w:val="17"/>
                <w:szCs w:val="17"/>
                <w:color w:val="auto"/>
                <w:w w:val="89"/>
              </w:rPr>
              <w:t>February 1, 2022</w:t>
            </w:r>
          </w:p>
        </w:tc>
      </w:tr>
      <w:tr>
        <w:trPr>
          <w:trHeight w:val="207"/>
        </w:trPr>
        <w:tc>
          <w:tcPr>
            <w:tcW w:w="3920" w:type="dxa"/>
            <w:vAlign w:val="bottom"/>
            <w:gridSpan w:val="3"/>
          </w:tcPr>
          <w:p>
            <w:pPr>
              <w:jc w:val="center"/>
              <w:spacing w:after="0"/>
              <w:rPr>
                <w:sz w:val="20"/>
                <w:szCs w:val="20"/>
                <w:color w:val="auto"/>
              </w:rPr>
            </w:pPr>
            <w:r>
              <w:rPr>
                <w:rFonts w:ascii="Arial" w:cs="Arial" w:eastAsia="Arial" w:hAnsi="Arial"/>
                <w:sz w:val="17"/>
                <w:szCs w:val="17"/>
                <w:color w:val="auto"/>
                <w:w w:val="95"/>
              </w:rPr>
              <w:t>Christine Hamilton, MBA</w:t>
            </w:r>
          </w:p>
        </w:tc>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04"/>
        </w:trPr>
        <w:tc>
          <w:tcPr>
            <w:tcW w:w="39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3"/>
              </w:rPr>
              <w:t xml:space="preserve">/s/ </w:t>
            </w:r>
            <w:r>
              <w:rPr>
                <w:rFonts w:ascii="Arial" w:cs="Arial" w:eastAsia="Arial" w:hAnsi="Arial"/>
                <w:sz w:val="17"/>
                <w:szCs w:val="17"/>
                <w:i w:val="1"/>
                <w:iCs w:val="1"/>
                <w:color w:val="auto"/>
                <w:w w:val="93"/>
              </w:rPr>
              <w:t>William Polvino, MD, PhD</w:t>
            </w:r>
          </w:p>
        </w:tc>
        <w:tc>
          <w:tcPr>
            <w:tcW w:w="4600" w:type="dxa"/>
            <w:vAlign w:val="bottom"/>
            <w:gridSpan w:val="3"/>
          </w:tcPr>
          <w:p>
            <w:pPr>
              <w:jc w:val="center"/>
              <w:ind w:left="36"/>
              <w:spacing w:after="0"/>
              <w:rPr>
                <w:sz w:val="20"/>
                <w:szCs w:val="20"/>
                <w:color w:val="auto"/>
              </w:rPr>
            </w:pPr>
            <w:r>
              <w:rPr>
                <w:rFonts w:ascii="Arial" w:cs="Arial" w:eastAsia="Arial" w:hAnsi="Arial"/>
                <w:sz w:val="17"/>
                <w:szCs w:val="17"/>
                <w:color w:val="auto"/>
                <w:w w:val="94"/>
              </w:rPr>
              <w:t>Director</w:t>
            </w:r>
          </w:p>
        </w:tc>
        <w:tc>
          <w:tcPr>
            <w:tcW w:w="1540" w:type="dxa"/>
            <w:vAlign w:val="bottom"/>
            <w:gridSpan w:val="3"/>
          </w:tcPr>
          <w:p>
            <w:pPr>
              <w:jc w:val="center"/>
              <w:ind w:left="298"/>
              <w:spacing w:after="0"/>
              <w:rPr>
                <w:sz w:val="20"/>
                <w:szCs w:val="20"/>
                <w:color w:val="auto"/>
              </w:rPr>
            </w:pPr>
            <w:r>
              <w:rPr>
                <w:rFonts w:ascii="Arial" w:cs="Arial" w:eastAsia="Arial" w:hAnsi="Arial"/>
                <w:sz w:val="17"/>
                <w:szCs w:val="17"/>
                <w:color w:val="auto"/>
                <w:w w:val="89"/>
              </w:rPr>
              <w:t>February 1, 2022</w:t>
            </w:r>
          </w:p>
        </w:tc>
      </w:tr>
      <w:tr>
        <w:trPr>
          <w:trHeight w:val="207"/>
        </w:trPr>
        <w:tc>
          <w:tcPr>
            <w:tcW w:w="3920" w:type="dxa"/>
            <w:vAlign w:val="bottom"/>
            <w:gridSpan w:val="3"/>
          </w:tcPr>
          <w:p>
            <w:pPr>
              <w:jc w:val="center"/>
              <w:ind w:right="20"/>
              <w:spacing w:after="0"/>
              <w:rPr>
                <w:sz w:val="20"/>
                <w:szCs w:val="20"/>
                <w:color w:val="auto"/>
              </w:rPr>
            </w:pPr>
            <w:r>
              <w:rPr>
                <w:rFonts w:ascii="Arial" w:cs="Arial" w:eastAsia="Arial" w:hAnsi="Arial"/>
                <w:sz w:val="17"/>
                <w:szCs w:val="17"/>
                <w:color w:val="auto"/>
                <w:w w:val="96"/>
              </w:rPr>
              <w:t>William Polvino, MD, PhD</w:t>
            </w:r>
          </w:p>
        </w:tc>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04"/>
        </w:trPr>
        <w:tc>
          <w:tcPr>
            <w:tcW w:w="39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88"/>
              </w:rPr>
              <w:t xml:space="preserve">/s/ </w:t>
            </w:r>
            <w:r>
              <w:rPr>
                <w:rFonts w:ascii="Arial" w:cs="Arial" w:eastAsia="Arial" w:hAnsi="Arial"/>
                <w:sz w:val="17"/>
                <w:szCs w:val="17"/>
                <w:i w:val="1"/>
                <w:iCs w:val="1"/>
                <w:color w:val="auto"/>
                <w:w w:val="88"/>
              </w:rPr>
              <w:t>Jeffrey G. Spragens</w:t>
            </w:r>
          </w:p>
        </w:tc>
        <w:tc>
          <w:tcPr>
            <w:tcW w:w="4600" w:type="dxa"/>
            <w:vAlign w:val="bottom"/>
            <w:gridSpan w:val="3"/>
          </w:tcPr>
          <w:p>
            <w:pPr>
              <w:jc w:val="center"/>
              <w:ind w:left="36"/>
              <w:spacing w:after="0"/>
              <w:rPr>
                <w:sz w:val="20"/>
                <w:szCs w:val="20"/>
                <w:color w:val="auto"/>
              </w:rPr>
            </w:pPr>
            <w:r>
              <w:rPr>
                <w:rFonts w:ascii="Arial" w:cs="Arial" w:eastAsia="Arial" w:hAnsi="Arial"/>
                <w:sz w:val="17"/>
                <w:szCs w:val="17"/>
                <w:color w:val="auto"/>
                <w:w w:val="94"/>
              </w:rPr>
              <w:t>Director</w:t>
            </w:r>
          </w:p>
        </w:tc>
        <w:tc>
          <w:tcPr>
            <w:tcW w:w="1540" w:type="dxa"/>
            <w:vAlign w:val="bottom"/>
            <w:gridSpan w:val="3"/>
          </w:tcPr>
          <w:p>
            <w:pPr>
              <w:jc w:val="center"/>
              <w:ind w:left="298"/>
              <w:spacing w:after="0"/>
              <w:rPr>
                <w:sz w:val="20"/>
                <w:szCs w:val="20"/>
                <w:color w:val="auto"/>
              </w:rPr>
            </w:pPr>
            <w:r>
              <w:rPr>
                <w:rFonts w:ascii="Arial" w:cs="Arial" w:eastAsia="Arial" w:hAnsi="Arial"/>
                <w:sz w:val="17"/>
                <w:szCs w:val="17"/>
                <w:color w:val="auto"/>
                <w:w w:val="89"/>
              </w:rPr>
              <w:t>February 1, 2022</w:t>
            </w:r>
          </w:p>
        </w:tc>
      </w:tr>
      <w:tr>
        <w:trPr>
          <w:trHeight w:val="207"/>
        </w:trPr>
        <w:tc>
          <w:tcPr>
            <w:tcW w:w="3920" w:type="dxa"/>
            <w:vAlign w:val="bottom"/>
            <w:gridSpan w:val="3"/>
          </w:tcPr>
          <w:p>
            <w:pPr>
              <w:jc w:val="center"/>
              <w:ind w:right="20"/>
              <w:spacing w:after="0"/>
              <w:rPr>
                <w:sz w:val="20"/>
                <w:szCs w:val="20"/>
                <w:color w:val="auto"/>
              </w:rPr>
            </w:pPr>
            <w:r>
              <w:rPr>
                <w:rFonts w:ascii="Arial" w:cs="Arial" w:eastAsia="Arial" w:hAnsi="Arial"/>
                <w:sz w:val="17"/>
                <w:szCs w:val="17"/>
                <w:color w:val="auto"/>
                <w:w w:val="88"/>
              </w:rPr>
              <w:t>Jeffrey G. Spragens</w:t>
            </w:r>
          </w:p>
        </w:tc>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04"/>
        </w:trPr>
        <w:tc>
          <w:tcPr>
            <w:tcW w:w="39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89"/>
              </w:rPr>
              <w:t xml:space="preserve">/s/ </w:t>
            </w:r>
            <w:r>
              <w:rPr>
                <w:rFonts w:ascii="Arial" w:cs="Arial" w:eastAsia="Arial" w:hAnsi="Arial"/>
                <w:sz w:val="17"/>
                <w:szCs w:val="17"/>
                <w:i w:val="1"/>
                <w:iCs w:val="1"/>
                <w:color w:val="auto"/>
                <w:w w:val="89"/>
              </w:rPr>
              <w:t>Mervyn Turner, PhD</w:t>
            </w:r>
          </w:p>
        </w:tc>
        <w:tc>
          <w:tcPr>
            <w:tcW w:w="4600" w:type="dxa"/>
            <w:vAlign w:val="bottom"/>
            <w:gridSpan w:val="3"/>
          </w:tcPr>
          <w:p>
            <w:pPr>
              <w:jc w:val="center"/>
              <w:ind w:left="36"/>
              <w:spacing w:after="0"/>
              <w:rPr>
                <w:sz w:val="20"/>
                <w:szCs w:val="20"/>
                <w:color w:val="auto"/>
              </w:rPr>
            </w:pPr>
            <w:r>
              <w:rPr>
                <w:rFonts w:ascii="Arial" w:cs="Arial" w:eastAsia="Arial" w:hAnsi="Arial"/>
                <w:sz w:val="17"/>
                <w:szCs w:val="17"/>
                <w:color w:val="auto"/>
                <w:w w:val="94"/>
              </w:rPr>
              <w:t>Director</w:t>
            </w:r>
          </w:p>
        </w:tc>
        <w:tc>
          <w:tcPr>
            <w:tcW w:w="1540" w:type="dxa"/>
            <w:vAlign w:val="bottom"/>
            <w:gridSpan w:val="3"/>
          </w:tcPr>
          <w:p>
            <w:pPr>
              <w:jc w:val="center"/>
              <w:ind w:left="298"/>
              <w:spacing w:after="0"/>
              <w:rPr>
                <w:sz w:val="20"/>
                <w:szCs w:val="20"/>
                <w:color w:val="auto"/>
              </w:rPr>
            </w:pPr>
            <w:r>
              <w:rPr>
                <w:rFonts w:ascii="Arial" w:cs="Arial" w:eastAsia="Arial" w:hAnsi="Arial"/>
                <w:sz w:val="17"/>
                <w:szCs w:val="17"/>
                <w:color w:val="auto"/>
                <w:w w:val="89"/>
              </w:rPr>
              <w:t>February 1, 2022</w:t>
            </w:r>
          </w:p>
        </w:tc>
      </w:tr>
      <w:tr>
        <w:trPr>
          <w:trHeight w:val="207"/>
        </w:trPr>
        <w:tc>
          <w:tcPr>
            <w:tcW w:w="392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Mervyn Turner, PhD</w:t>
            </w:r>
          </w:p>
        </w:tc>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bl>
    <w:p>
      <w:pPr>
        <w:sectPr>
          <w:pgSz w:w="11900" w:h="16838" w:orient="portrait"/>
          <w:cols w:equalWidth="0" w:num="1">
            <w:col w:w="10240"/>
          </w:cols>
          <w:pgMar w:left="800" w:top="262" w:right="859" w:bottom="1440" w:gutter="0" w:footer="0" w:header="0"/>
        </w:sectPr>
      </w:pPr>
    </w:p>
    <w:bookmarkStart w:id="8" w:name="page9"/>
    <w:bookmarkEnd w:id="8"/>
    <w:p>
      <w:pPr>
        <w:jc w:val="right"/>
        <w:spacing w:after="0"/>
        <w:rPr>
          <w:sz w:val="20"/>
          <w:szCs w:val="20"/>
          <w:color w:val="auto"/>
        </w:rPr>
      </w:pPr>
      <w:r>
        <w:rPr>
          <w:rFonts w:ascii="Arial" w:cs="Arial" w:eastAsia="Arial" w:hAnsi="Arial"/>
          <w:sz w:val="17"/>
          <w:szCs w:val="17"/>
          <w:b w:val="1"/>
          <w:bCs w:val="1"/>
          <w:color w:val="auto"/>
        </w:rPr>
        <w:t>Exhibit 5.1</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506855" cy="3524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extLst>
                    </a:blip>
                    <a:srcRect/>
                    <a:stretch>
                      <a:fillRect/>
                    </a:stretch>
                  </pic:blipFill>
                  <pic:spPr bwMode="auto">
                    <a:xfrm>
                      <a:off x="0" y="0"/>
                      <a:ext cx="1506855" cy="35242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color w:val="auto"/>
        </w:rPr>
        <w:t>1221 Avenue of the Americas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New York, NY 10020-1089</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United States</w:t>
      </w:r>
    </w:p>
    <w:p>
      <w:pPr>
        <w:spacing w:after="0" w:line="117" w:lineRule="exact"/>
        <w:rPr>
          <w:sz w:val="20"/>
          <w:szCs w:val="20"/>
          <w:color w:val="auto"/>
        </w:rPr>
      </w:pPr>
    </w:p>
    <w:p>
      <w:pPr>
        <w:jc w:val="right"/>
        <w:spacing w:after="0" w:line="207" w:lineRule="exact"/>
        <w:rPr>
          <w:sz w:val="20"/>
          <w:szCs w:val="20"/>
          <w:color w:val="auto"/>
        </w:rPr>
      </w:pPr>
      <w:r>
        <w:rPr>
          <w:rFonts w:ascii="SimSun" w:cs="SimSun" w:eastAsia="SimSun" w:hAnsi="SimSun"/>
          <w:sz w:val="17"/>
          <w:szCs w:val="17"/>
          <w:color w:val="auto"/>
          <w:highlight w:val="black"/>
        </w:rPr>
        <w:t>大成</w:t>
      </w:r>
      <w:r>
        <w:rPr>
          <w:rFonts w:ascii="Arial" w:cs="Arial" w:eastAsia="Arial" w:hAnsi="Arial"/>
          <w:sz w:val="17"/>
          <w:szCs w:val="17"/>
          <w:b w:val="1"/>
          <w:bCs w:val="1"/>
          <w:color w:val="auto"/>
        </w:rPr>
        <w:t xml:space="preserve"> Salans FMC SNR Denton McKenna Long</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dentons.com</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February 1, 2022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SAB Biotherapeutics, Inc.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2100 East 54th Street North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Sioux Falls, South Dakota 57104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Registration Statement on Form S-8</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08" w:lineRule="exact"/>
        <w:rPr>
          <w:sz w:val="20"/>
          <w:szCs w:val="20"/>
          <w:color w:val="auto"/>
        </w:rPr>
      </w:pPr>
    </w:p>
    <w:p>
      <w:pPr>
        <w:ind w:right="120" w:firstLine="412"/>
        <w:spacing w:after="0" w:line="271" w:lineRule="auto"/>
        <w:rPr>
          <w:sz w:val="20"/>
          <w:szCs w:val="20"/>
          <w:color w:val="auto"/>
        </w:rPr>
      </w:pPr>
      <w:r>
        <w:rPr>
          <w:rFonts w:ascii="Arial" w:cs="Arial" w:eastAsia="Arial" w:hAnsi="Arial"/>
          <w:sz w:val="16"/>
          <w:szCs w:val="16"/>
          <w:color w:val="auto"/>
        </w:rPr>
        <w:t>We have acted as counsel SAB Biotherapeutics, Inc., a corporation organized under the laws of the State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the registration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of the issuance from time to time of 12,000,000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Company’s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pursuant to the Company’s 2021 Omnibus Equity Incentive Plan and 2021 Employee Stock Purchase Plan, (collectively, the “</w:t>
      </w:r>
      <w:r>
        <w:rPr>
          <w:rFonts w:ascii="Arial" w:cs="Arial" w:eastAsia="Arial" w:hAnsi="Arial"/>
          <w:sz w:val="16"/>
          <w:szCs w:val="16"/>
          <w:u w:val="single" w:color="auto"/>
          <w:color w:val="auto"/>
        </w:rPr>
        <w:t>2021 Plans</w:t>
      </w:r>
      <w:r>
        <w:rPr>
          <w:rFonts w:ascii="Arial" w:cs="Arial" w:eastAsia="Arial" w:hAnsi="Arial"/>
          <w:sz w:val="16"/>
          <w:szCs w:val="16"/>
          <w:color w:val="auto"/>
        </w:rPr>
        <w:t>”) on a Registration Statement on Form S-8 being filed on the date hereof by the Company with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(such registration statement, as it may be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w:t>
      </w:r>
    </w:p>
    <w:p>
      <w:pPr>
        <w:spacing w:after="0" w:line="167" w:lineRule="exact"/>
        <w:rPr>
          <w:sz w:val="20"/>
          <w:szCs w:val="20"/>
          <w:color w:val="auto"/>
        </w:rPr>
      </w:pPr>
    </w:p>
    <w:p>
      <w:pPr>
        <w:ind w:right="280" w:firstLine="412"/>
        <w:spacing w:after="0" w:line="270" w:lineRule="auto"/>
        <w:rPr>
          <w:sz w:val="20"/>
          <w:szCs w:val="20"/>
          <w:color w:val="auto"/>
        </w:rPr>
      </w:pPr>
      <w:r>
        <w:rPr>
          <w:rFonts w:ascii="Arial" w:cs="Arial" w:eastAsia="Arial" w:hAnsi="Arial"/>
          <w:sz w:val="17"/>
          <w:szCs w:val="17"/>
          <w:color w:val="auto"/>
        </w:rPr>
        <w:t>We are delivering this opinion to you in accordance with your request and in accordance with the requirements of Item 8 of Form S-8 and Item 601(b)(5)(i) of Regulation S-K.</w:t>
      </w:r>
    </w:p>
    <w:p>
      <w:pPr>
        <w:spacing w:after="0" w:line="166" w:lineRule="exact"/>
        <w:rPr>
          <w:sz w:val="20"/>
          <w:szCs w:val="20"/>
          <w:color w:val="auto"/>
        </w:rPr>
      </w:pPr>
    </w:p>
    <w:p>
      <w:pPr>
        <w:ind w:right="180" w:firstLine="412"/>
        <w:spacing w:after="0" w:line="270" w:lineRule="auto"/>
        <w:rPr>
          <w:sz w:val="20"/>
          <w:szCs w:val="20"/>
          <w:color w:val="auto"/>
        </w:rPr>
      </w:pPr>
      <w:r>
        <w:rPr>
          <w:rFonts w:ascii="Arial" w:cs="Arial" w:eastAsia="Arial" w:hAnsi="Arial"/>
          <w:sz w:val="17"/>
          <w:szCs w:val="17"/>
          <w:color w:val="auto"/>
        </w:rPr>
        <w:t>In connection with rendering this opinion, we have examined originals, certified copies or copies otherwise identified as being true copies of the following:</w:t>
      </w:r>
    </w:p>
    <w:p>
      <w:pPr>
        <w:spacing w:after="0" w:line="78" w:lineRule="exact"/>
        <w:rPr>
          <w:sz w:val="20"/>
          <w:szCs w:val="20"/>
          <w:color w:val="auto"/>
        </w:rPr>
      </w:pPr>
    </w:p>
    <w:p>
      <w:pPr>
        <w:ind w:left="900" w:right="560" w:hanging="502"/>
        <w:spacing w:after="0" w:line="270"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Registration Statement, together with the exhibits filed as a part thereof and including any documents incorporated by reference therein;</w:t>
      </w:r>
    </w:p>
    <w:p>
      <w:pPr>
        <w:spacing w:after="0" w:line="77" w:lineRule="exact"/>
        <w:rPr>
          <w:rFonts w:ascii="Arial" w:cs="Arial" w:eastAsia="Arial" w:hAnsi="Arial"/>
          <w:sz w:val="17"/>
          <w:szCs w:val="17"/>
          <w:color w:val="auto"/>
        </w:rPr>
      </w:pPr>
    </w:p>
    <w:p>
      <w:pPr>
        <w:ind w:left="900" w:hanging="502"/>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Certificate of Incorporation of the Company;</w:t>
      </w:r>
    </w:p>
    <w:p>
      <w:pPr>
        <w:spacing w:after="0" w:line="120" w:lineRule="exact"/>
        <w:rPr>
          <w:rFonts w:ascii="Arial" w:cs="Arial" w:eastAsia="Arial" w:hAnsi="Arial"/>
          <w:sz w:val="17"/>
          <w:szCs w:val="17"/>
          <w:color w:val="auto"/>
        </w:rPr>
      </w:pPr>
    </w:p>
    <w:p>
      <w:pPr>
        <w:ind w:left="900" w:hanging="502"/>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Bylaws of the Company;</w:t>
      </w:r>
    </w:p>
    <w:p>
      <w:pPr>
        <w:spacing w:after="0" w:line="120" w:lineRule="exact"/>
        <w:rPr>
          <w:rFonts w:ascii="Arial" w:cs="Arial" w:eastAsia="Arial" w:hAnsi="Arial"/>
          <w:sz w:val="17"/>
          <w:szCs w:val="17"/>
          <w:color w:val="auto"/>
        </w:rPr>
      </w:pPr>
    </w:p>
    <w:p>
      <w:pPr>
        <w:ind w:left="900" w:hanging="502"/>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2021 Plans;</w:t>
      </w:r>
    </w:p>
    <w:p>
      <w:pPr>
        <w:spacing w:after="0" w:line="120" w:lineRule="exact"/>
        <w:rPr>
          <w:rFonts w:ascii="Arial" w:cs="Arial" w:eastAsia="Arial" w:hAnsi="Arial"/>
          <w:sz w:val="17"/>
          <w:szCs w:val="17"/>
          <w:color w:val="auto"/>
        </w:rPr>
      </w:pPr>
    </w:p>
    <w:p>
      <w:pPr>
        <w:ind w:left="900" w:hanging="502"/>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corporate resolutions and proceedings of the Company relating to its proposed issuance of the Shares; and</w:t>
      </w:r>
    </w:p>
    <w:p>
      <w:pPr>
        <w:spacing w:after="0" w:line="120" w:lineRule="exact"/>
        <w:rPr>
          <w:rFonts w:ascii="Arial" w:cs="Arial" w:eastAsia="Arial" w:hAnsi="Arial"/>
          <w:sz w:val="17"/>
          <w:szCs w:val="17"/>
          <w:color w:val="auto"/>
        </w:rPr>
      </w:pPr>
    </w:p>
    <w:p>
      <w:pPr>
        <w:ind w:left="900" w:hanging="502"/>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such other instruments and documents as we have deemed relevant or necessary in connection with our opinions set forth herein.</w:t>
      </w:r>
    </w:p>
    <w:p>
      <w:pPr>
        <w:spacing w:after="0" w:line="220" w:lineRule="exact"/>
        <w:rPr>
          <w:sz w:val="20"/>
          <w:szCs w:val="20"/>
          <w:color w:val="auto"/>
        </w:rPr>
      </w:pPr>
    </w:p>
    <w:p>
      <w:pPr>
        <w:ind w:right="140" w:firstLine="412"/>
        <w:spacing w:after="0" w:line="253" w:lineRule="auto"/>
        <w:rPr>
          <w:sz w:val="20"/>
          <w:szCs w:val="20"/>
          <w:color w:val="auto"/>
        </w:rPr>
      </w:pPr>
      <w:r>
        <w:rPr>
          <w:rFonts w:ascii="Arial" w:cs="Arial" w:eastAsia="Arial" w:hAnsi="Arial"/>
          <w:sz w:val="17"/>
          <w:szCs w:val="17"/>
          <w:color w:val="auto"/>
        </w:rPr>
        <w:t>We have made such examination of law as we have deemed necessary to express the opinion contained herein. As to matters of fact relevant to this opinion, we have relied upon, and assumed without independent verification, the accuracy of certificates of public officials and officers of the Company. We have assumed the genuineness of all signatures, the legal capacity of natural persons, the authenticity of documents submitted to us as originals, the conformity to the original documents of all documents submitted to us as certified, facsimile or photostatic copies, and the authenticity of the originals of such copies.</w:t>
      </w:r>
    </w:p>
    <w:p>
      <w:pPr>
        <w:spacing w:after="0" w:line="181" w:lineRule="exact"/>
        <w:rPr>
          <w:sz w:val="20"/>
          <w:szCs w:val="20"/>
          <w:color w:val="auto"/>
        </w:rPr>
      </w:pPr>
    </w:p>
    <w:p>
      <w:pPr>
        <w:ind w:right="280" w:firstLine="412"/>
        <w:spacing w:after="0" w:line="309" w:lineRule="auto"/>
        <w:rPr>
          <w:sz w:val="20"/>
          <w:szCs w:val="20"/>
          <w:color w:val="auto"/>
        </w:rPr>
      </w:pPr>
      <w:r>
        <w:rPr>
          <w:rFonts w:ascii="Arial" w:cs="Arial" w:eastAsia="Arial" w:hAnsi="Arial"/>
          <w:sz w:val="15"/>
          <w:szCs w:val="15"/>
          <w:color w:val="auto"/>
        </w:rPr>
        <w:t>Based on the foregoing, and subject to the limitations, qualifications, exceptions and assumptions expressed herein, we are of the opinion, assuming no change in the applicable law or pertinent facts and having due regard for such legal considerations as we deem relevant, that the Shares, when issued and paid for in accordance with the terms of the 2021 Plan, will be validly issued, fully paid and non-assessable.</w:t>
      </w:r>
    </w:p>
    <w:p>
      <w:pPr>
        <w:sectPr>
          <w:pgSz w:w="11900" w:h="16838" w:orient="portrait"/>
          <w:cols w:equalWidth="0" w:num="1">
            <w:col w:w="10300"/>
          </w:cols>
          <w:pgMar w:left="800" w:top="123" w:right="799" w:bottom="1440" w:gutter="0" w:footer="0" w:header="0"/>
        </w:sectPr>
      </w:pPr>
    </w:p>
    <w:bookmarkStart w:id="9" w:name="page10"/>
    <w:bookmarkEnd w:id="9"/>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506855" cy="352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extLst>
                    </a:blip>
                    <a:srcRect/>
                    <a:stretch>
                      <a:fillRect/>
                    </a:stretch>
                  </pic:blipFill>
                  <pic:spPr bwMode="auto">
                    <a:xfrm>
                      <a:off x="0" y="0"/>
                      <a:ext cx="1506855" cy="35242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color w:val="auto"/>
        </w:rPr>
        <w:t>1221 Avenue of the Americas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New York, NY 10020-1089</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United States</w:t>
      </w:r>
    </w:p>
    <w:p>
      <w:pPr>
        <w:spacing w:after="0" w:line="117" w:lineRule="exact"/>
        <w:rPr>
          <w:sz w:val="20"/>
          <w:szCs w:val="20"/>
          <w:color w:val="auto"/>
        </w:rPr>
      </w:pPr>
    </w:p>
    <w:p>
      <w:pPr>
        <w:jc w:val="right"/>
        <w:spacing w:after="0" w:line="207" w:lineRule="exact"/>
        <w:rPr>
          <w:sz w:val="20"/>
          <w:szCs w:val="20"/>
          <w:color w:val="auto"/>
        </w:rPr>
      </w:pPr>
      <w:r>
        <w:rPr>
          <w:rFonts w:ascii="SimSun" w:cs="SimSun" w:eastAsia="SimSun" w:hAnsi="SimSun"/>
          <w:sz w:val="17"/>
          <w:szCs w:val="17"/>
          <w:color w:val="auto"/>
          <w:highlight w:val="black"/>
        </w:rPr>
        <w:t>大成</w:t>
      </w:r>
      <w:r>
        <w:rPr>
          <w:rFonts w:ascii="Arial" w:cs="Arial" w:eastAsia="Arial" w:hAnsi="Arial"/>
          <w:sz w:val="17"/>
          <w:szCs w:val="17"/>
          <w:b w:val="1"/>
          <w:bCs w:val="1"/>
          <w:color w:val="auto"/>
        </w:rPr>
        <w:t xml:space="preserve"> Salans FMC SNR Denton McKenna Long</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dentons.com</w:t>
      </w:r>
    </w:p>
    <w:p>
      <w:pPr>
        <w:spacing w:after="0" w:line="158" w:lineRule="exact"/>
        <w:rPr>
          <w:sz w:val="20"/>
          <w:szCs w:val="20"/>
          <w:color w:val="auto"/>
        </w:rPr>
      </w:pPr>
    </w:p>
    <w:p>
      <w:pPr>
        <w:ind w:right="140" w:firstLine="412"/>
        <w:spacing w:after="0" w:line="255" w:lineRule="auto"/>
        <w:rPr>
          <w:sz w:val="20"/>
          <w:szCs w:val="20"/>
          <w:color w:val="auto"/>
        </w:rPr>
      </w:pPr>
      <w:r>
        <w:rPr>
          <w:rFonts w:ascii="Arial" w:cs="Arial" w:eastAsia="Arial" w:hAnsi="Arial"/>
          <w:sz w:val="17"/>
          <w:szCs w:val="17"/>
          <w:color w:val="auto"/>
        </w:rPr>
        <w:t>This opinion is limited in all respects to the General Corporation Law of the State of Delaware and to the Delaware Limited Liability Company Act, and we express no opinion as to the laws, statutes, rules or regulations of any other jurisdiction. The references and limitations to the “General Corporation Law of the State of Delaware” and the “Delaware Limited Liability Company Act” include all applicable Delaware statutory provisions of law and reported judicial decisions interpreting these laws.</w:t>
      </w:r>
    </w:p>
    <w:p>
      <w:pPr>
        <w:spacing w:after="0" w:line="179" w:lineRule="exact"/>
        <w:rPr>
          <w:sz w:val="20"/>
          <w:szCs w:val="20"/>
          <w:color w:val="auto"/>
        </w:rPr>
      </w:pPr>
    </w:p>
    <w:p>
      <w:pPr>
        <w:ind w:right="140" w:firstLine="412"/>
        <w:spacing w:after="0" w:line="255" w:lineRule="auto"/>
        <w:rPr>
          <w:sz w:val="20"/>
          <w:szCs w:val="20"/>
          <w:color w:val="auto"/>
        </w:rPr>
      </w:pPr>
      <w:r>
        <w:rPr>
          <w:rFonts w:ascii="Arial" w:cs="Arial" w:eastAsia="Arial" w:hAnsi="Arial"/>
          <w:sz w:val="17"/>
          <w:szCs w:val="17"/>
          <w:color w:val="auto"/>
        </w:rPr>
        <w:t>This opinion is solely for your benefit and may not be furnished to, or relied upon by, any other person or entity without the express prior written consent of the undersigned, however, we hereby consent to the use of our opinion as herein set forth as an exhibit to the Registration Statement. We do not, by giving such consent, admit that we are within the category of persons whose consent is required under Section 7 of the Securities Act, or the rules and regulations of the Commission thereunder.</w:t>
      </w:r>
    </w:p>
    <w:p>
      <w:pPr>
        <w:spacing w:after="0" w:line="179"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Very truly yours,</w:t>
      </w:r>
    </w:p>
    <w:p>
      <w:pPr>
        <w:spacing w:after="0" w:line="208" w:lineRule="exact"/>
        <w:rPr>
          <w:sz w:val="20"/>
          <w:szCs w:val="20"/>
          <w:color w:val="auto"/>
        </w:rPr>
      </w:pPr>
    </w:p>
    <w:p>
      <w:pPr>
        <w:ind w:left="5760"/>
        <w:spacing w:after="0"/>
        <w:rPr>
          <w:sz w:val="20"/>
          <w:szCs w:val="20"/>
          <w:color w:val="auto"/>
        </w:rPr>
      </w:pPr>
      <w:r>
        <w:rPr>
          <w:rFonts w:ascii="Arial" w:cs="Arial" w:eastAsia="Arial" w:hAnsi="Arial"/>
          <w:sz w:val="17"/>
          <w:szCs w:val="17"/>
          <w:i w:val="1"/>
          <w:iCs w:val="1"/>
          <w:color w:val="auto"/>
        </w:rPr>
        <w:t>/s/ Dentons US LLP</w:t>
      </w:r>
    </w:p>
    <w:p>
      <w:pPr>
        <w:spacing w:after="0" w:line="208"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Dentons US LLP</w:t>
      </w:r>
    </w:p>
    <w:p>
      <w:pPr>
        <w:sectPr>
          <w:pgSz w:w="11900" w:h="16838" w:orient="portrait"/>
          <w:cols w:equalWidth="0" w:num="1">
            <w:col w:w="10300"/>
          </w:cols>
          <w:pgMar w:left="800" w:top="266" w:right="799" w:bottom="1440" w:gutter="0" w:footer="0" w:header="0"/>
        </w:sectPr>
      </w:pPr>
    </w:p>
    <w:bookmarkStart w:id="10" w:name="page11"/>
    <w:bookmarkEnd w:id="10"/>
    <w:p>
      <w:pPr>
        <w:jc w:val="right"/>
        <w:spacing w:after="0"/>
        <w:rPr>
          <w:sz w:val="20"/>
          <w:szCs w:val="20"/>
          <w:color w:val="auto"/>
        </w:rPr>
      </w:pPr>
      <w:r>
        <w:rPr>
          <w:rFonts w:ascii="Arial" w:cs="Arial" w:eastAsia="Arial" w:hAnsi="Arial"/>
          <w:sz w:val="17"/>
          <w:szCs w:val="17"/>
          <w:b w:val="1"/>
          <w:bCs w:val="1"/>
          <w:color w:val="auto"/>
        </w:rPr>
        <w:t>Exhibit 23.1</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INDEPENDENT REGISTERED PUBLIC ACCOUNTING FIRM’S CONSENT</w:t>
      </w:r>
    </w:p>
    <w:p>
      <w:pPr>
        <w:spacing w:after="0" w:line="208"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We consent to the incorporation by reference in this Registration Statement of SAB Biotherapeutics, Inc. (formerly known as Big Cypress Acquisition Corp.) on Form S-8 of our report dated April 2, 2021, with respect to our audit of the financial statements of Big Cypress Acquisition Corp. (now known as SAB Biotherapeutics, Inc.) as of December 31, 2020 and for the period from November 12, 2020 (inception) through December 31, 2020, which report appears in the Registration Statement and accompanying Prospectus on Form S-1 (File No. 333-261496). We were dismissed as auditors on November 15, 2021, and, accordingly, we have not performed any audit or review procedures with respect to any financial statements appearing in such Prospectus for the periods after the date of our dismissal.</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Marcum </w:t>
      </w:r>
      <w:r>
        <w:rPr>
          <w:rFonts w:ascii="Arial" w:cs="Arial" w:eastAsia="Arial" w:hAnsi="Arial"/>
          <w:sz w:val="14"/>
          <w:szCs w:val="14"/>
          <w:color w:val="auto"/>
        </w:rPr>
        <w:t>LLP</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Marcum </w:t>
      </w:r>
      <w:r>
        <w:rPr>
          <w:rFonts w:ascii="Arial" w:cs="Arial" w:eastAsia="Arial" w:hAnsi="Arial"/>
          <w:sz w:val="14"/>
          <w:szCs w:val="14"/>
          <w:color w:val="auto"/>
        </w:rPr>
        <w:t>LLP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West Palm Beach, FL</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1, 2022</w:t>
      </w:r>
    </w:p>
    <w:p>
      <w:pPr>
        <w:sectPr>
          <w:pgSz w:w="11900" w:h="16838" w:orient="portrait"/>
          <w:cols w:equalWidth="0" w:num="1">
            <w:col w:w="10300"/>
          </w:cols>
          <w:pgMar w:left="800" w:top="123" w:right="799" w:bottom="1440" w:gutter="0" w:footer="0" w:header="0"/>
        </w:sectPr>
      </w:pPr>
    </w:p>
    <w:bookmarkStart w:id="11" w:name="page12"/>
    <w:bookmarkEnd w:id="11"/>
    <w:p>
      <w:pPr>
        <w:jc w:val="right"/>
        <w:spacing w:after="0"/>
        <w:rPr>
          <w:sz w:val="20"/>
          <w:szCs w:val="20"/>
          <w:color w:val="auto"/>
        </w:rPr>
      </w:pPr>
      <w:r>
        <w:rPr>
          <w:rFonts w:ascii="Arial" w:cs="Arial" w:eastAsia="Arial" w:hAnsi="Arial"/>
          <w:sz w:val="17"/>
          <w:szCs w:val="17"/>
          <w:b w:val="1"/>
          <w:bCs w:val="1"/>
          <w:color w:val="auto"/>
        </w:rPr>
        <w:t>Exhibit 23.2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11" w:lineRule="exact"/>
        <w:rPr>
          <w:sz w:val="20"/>
          <w:szCs w:val="20"/>
          <w:color w:val="auto"/>
        </w:rPr>
      </w:pPr>
    </w:p>
    <w:p>
      <w:pPr>
        <w:ind w:right="280"/>
        <w:spacing w:after="0" w:line="282"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June 17, 2021, with respect to the consolidated financial statements of SAB Biotherapeutics, Inc. and Subsidiaries (Company) as of December 31, 2020 and 2019 and for the two years then ended, included in the Registration Statement and accompanying prospectus on Form S-1 (File No. 333-261496).</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/s/ Mayer Hoffman McCann P.C.</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San Diego, California</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February 1, 2022</w:t>
      </w:r>
    </w:p>
    <w:p>
      <w:pPr>
        <w:sectPr>
          <w:pgSz w:w="11900" w:h="16838" w:orient="portrait"/>
          <w:cols w:equalWidth="0" w:num="1">
            <w:col w:w="10300"/>
          </w:cols>
          <w:pgMar w:left="800" w:top="123" w:right="799" w:bottom="1440" w:gutter="0" w:footer="0" w:header="0"/>
        </w:sectPr>
      </w:pPr>
    </w:p>
    <w:bookmarkStart w:id="12" w:name="page13"/>
    <w:bookmarkEnd w:id="12"/>
    <w:tbl>
      <w:tblPr>
        <w:tblLayout w:type="fixed"/>
        <w:tblInd w:w="6"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gridSpan w:val="2"/>
          </w:tcPr>
          <w:p>
            <w:pPr>
              <w:ind w:left="520"/>
              <w:spacing w:after="0"/>
              <w:rPr>
                <w:sz w:val="20"/>
                <w:szCs w:val="20"/>
                <w:color w:val="auto"/>
              </w:rPr>
            </w:pPr>
            <w:r>
              <w:rPr>
                <w:rFonts w:ascii="Arial" w:cs="Arial" w:eastAsia="Arial" w:hAnsi="Arial"/>
                <w:sz w:val="17"/>
                <w:szCs w:val="17"/>
                <w:b w:val="1"/>
                <w:bCs w:val="1"/>
                <w:color w:val="auto"/>
              </w:rPr>
              <w:t>Exhibit 107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840" w:type="dxa"/>
            <w:vAlign w:val="bottom"/>
            <w:gridSpan w:val="5"/>
          </w:tcPr>
          <w:p>
            <w:pPr>
              <w:spacing w:after="0"/>
              <w:rPr>
                <w:sz w:val="20"/>
                <w:szCs w:val="20"/>
                <w:color w:val="auto"/>
              </w:rPr>
            </w:pPr>
            <w:r>
              <w:rPr>
                <w:rFonts w:ascii="Arial" w:cs="Arial" w:eastAsia="Arial" w:hAnsi="Arial"/>
                <w:sz w:val="17"/>
                <w:szCs w:val="17"/>
                <w:i w:val="1"/>
                <w:iCs w:val="1"/>
                <w:color w:val="auto"/>
              </w:rPr>
              <w:t>Newly Registered and Carry Forward Securities</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24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260" w:type="dxa"/>
            <w:vAlign w:val="bottom"/>
          </w:tcPr>
          <w:p>
            <w:pPr>
              <w:jc w:val="center"/>
              <w:ind w:left="23"/>
              <w:spacing w:after="0" w:line="88" w:lineRule="exact"/>
              <w:rPr>
                <w:sz w:val="20"/>
                <w:szCs w:val="20"/>
                <w:color w:val="auto"/>
              </w:rPr>
            </w:pPr>
            <w:r>
              <w:rPr>
                <w:rFonts w:ascii="Arial" w:cs="Arial" w:eastAsia="Arial" w:hAnsi="Arial"/>
                <w:sz w:val="9"/>
                <w:szCs w:val="9"/>
                <w:b w:val="1"/>
                <w:bCs w:val="1"/>
                <w:color w:val="auto"/>
              </w:rPr>
              <w:t>Fili</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4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2"/>
              </w:rPr>
              <w:t>Pre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4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Pa</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4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6"/>
              </w:rPr>
              <w:t>Fee</w:t>
            </w:r>
          </w:p>
        </w:tc>
        <w:tc>
          <w:tcPr>
            <w:tcW w:w="82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83"/>
              </w:rPr>
              <w:t>Proposed</w:t>
            </w:r>
          </w:p>
        </w:tc>
        <w:tc>
          <w:tcPr>
            <w:tcW w:w="88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4"/>
              </w:rPr>
              <w:t>Con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4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3"/>
              </w:rPr>
              <w:t>Maximum</w:t>
            </w:r>
          </w:p>
        </w:tc>
        <w:tc>
          <w:tcPr>
            <w:tcW w:w="8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3"/>
              </w:rPr>
              <w:t>Maximum</w:t>
            </w:r>
          </w:p>
        </w:tc>
        <w:tc>
          <w:tcPr>
            <w:tcW w:w="5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Carry Forward</w:t>
            </w:r>
          </w:p>
        </w:tc>
        <w:tc>
          <w:tcPr>
            <w:tcW w:w="260" w:type="dxa"/>
            <w:vAlign w:val="bottom"/>
          </w:tcPr>
          <w:p>
            <w:pPr>
              <w:jc w:val="right"/>
              <w:spacing w:after="0" w:line="117" w:lineRule="exact"/>
              <w:rPr>
                <w:sz w:val="20"/>
                <w:szCs w:val="20"/>
                <w:color w:val="auto"/>
              </w:rPr>
            </w:pPr>
            <w:r>
              <w:rPr>
                <w:rFonts w:ascii="Arial" w:cs="Arial" w:eastAsia="Arial" w:hAnsi="Arial"/>
                <w:sz w:val="12"/>
                <w:szCs w:val="12"/>
                <w:b w:val="1"/>
                <w:bCs w:val="1"/>
                <w:color w:val="auto"/>
                <w:w w:val="99"/>
              </w:rPr>
              <w:t>with</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4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89"/>
              </w:rPr>
              <w:t>Calculation</w:t>
            </w:r>
          </w:p>
        </w:tc>
        <w:tc>
          <w:tcPr>
            <w:tcW w:w="82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89"/>
              </w:rPr>
              <w:t>Offering</w:t>
            </w:r>
          </w:p>
        </w:tc>
        <w:tc>
          <w:tcPr>
            <w:tcW w:w="8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87"/>
              </w:rPr>
              <w:t>Aggregate</w:t>
            </w:r>
          </w:p>
        </w:tc>
        <w:tc>
          <w:tcPr>
            <w:tcW w:w="5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89"/>
              </w:rPr>
              <w:t>Amount of</w:t>
            </w:r>
          </w:p>
        </w:tc>
        <w:tc>
          <w:tcPr>
            <w:tcW w:w="8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5"/>
              </w:rPr>
              <w:t>Carry Forward</w:t>
            </w:r>
          </w:p>
        </w:tc>
        <w:tc>
          <w:tcPr>
            <w:tcW w:w="8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5"/>
              </w:rPr>
              <w:t>Carry Forward</w:t>
            </w:r>
          </w:p>
        </w:tc>
        <w:tc>
          <w:tcPr>
            <w:tcW w:w="8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rPr>
              <w:t>Initial</w:t>
            </w:r>
          </w:p>
        </w:tc>
        <w:tc>
          <w:tcPr>
            <w:tcW w:w="2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w w:val="83"/>
              </w:rPr>
              <w:t>Secu</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4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88"/>
              </w:rPr>
              <w:t>Security</w:t>
            </w:r>
          </w:p>
        </w:tc>
        <w:tc>
          <w:tcPr>
            <w:tcW w:w="24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88"/>
              </w:rPr>
              <w:t>Security</w:t>
            </w:r>
          </w:p>
        </w:tc>
        <w:tc>
          <w:tcPr>
            <w:tcW w:w="20" w:type="dxa"/>
            <w:vAlign w:val="bottom"/>
          </w:tcPr>
          <w:p>
            <w:pPr>
              <w:spacing w:after="0"/>
              <w:rPr>
                <w:sz w:val="10"/>
                <w:szCs w:val="10"/>
                <w:color w:val="auto"/>
              </w:rPr>
            </w:pPr>
          </w:p>
        </w:tc>
        <w:tc>
          <w:tcPr>
            <w:tcW w:w="7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4"/>
              </w:rPr>
              <w:t>or Carry</w:t>
            </w:r>
          </w:p>
        </w:tc>
        <w:tc>
          <w:tcPr>
            <w:tcW w:w="8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2"/>
              </w:rPr>
              <w:t>Amount</w:t>
            </w:r>
          </w:p>
        </w:tc>
        <w:tc>
          <w:tcPr>
            <w:tcW w:w="5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88"/>
              </w:rPr>
              <w:t>Price Per</w:t>
            </w:r>
          </w:p>
        </w:tc>
        <w:tc>
          <w:tcPr>
            <w:tcW w:w="8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4"/>
              </w:rPr>
              <w:t>Offering</w:t>
            </w:r>
          </w:p>
        </w:tc>
        <w:tc>
          <w:tcPr>
            <w:tcW w:w="5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77"/>
              </w:rPr>
              <w:t>Fee</w:t>
            </w:r>
          </w:p>
        </w:tc>
        <w:tc>
          <w:tcPr>
            <w:tcW w:w="6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88"/>
              </w:rPr>
              <w:t>Registration</w:t>
            </w:r>
          </w:p>
        </w:tc>
        <w:tc>
          <w:tcPr>
            <w:tcW w:w="8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3"/>
              </w:rPr>
              <w:t>Form</w:t>
            </w:r>
          </w:p>
        </w:tc>
        <w:tc>
          <w:tcPr>
            <w:tcW w:w="8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86"/>
              </w:rPr>
              <w:t>File</w:t>
            </w:r>
          </w:p>
        </w:tc>
        <w:tc>
          <w:tcPr>
            <w:tcW w:w="8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87"/>
              </w:rPr>
              <w:t>Effective</w:t>
            </w:r>
          </w:p>
        </w:tc>
        <w:tc>
          <w:tcPr>
            <w:tcW w:w="260" w:type="dxa"/>
            <w:vAlign w:val="bottom"/>
          </w:tcPr>
          <w:p>
            <w:pPr>
              <w:jc w:val="center"/>
              <w:ind w:left="3"/>
              <w:spacing w:after="0" w:line="126" w:lineRule="exact"/>
              <w:rPr>
                <w:sz w:val="20"/>
                <w:szCs w:val="20"/>
                <w:color w:val="auto"/>
              </w:rPr>
            </w:pPr>
            <w:r>
              <w:rPr>
                <w:rFonts w:ascii="Arial" w:cs="Arial" w:eastAsia="Arial" w:hAnsi="Arial"/>
                <w:sz w:val="12"/>
                <w:szCs w:val="12"/>
                <w:b w:val="1"/>
                <w:bCs w:val="1"/>
                <w:color w:val="auto"/>
                <w:w w:val="76"/>
              </w:rPr>
              <w:t>be C</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Type</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Class Title</w:t>
            </w: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Forward Rule</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Registered(1)</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Unit</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Price</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Rate</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Fee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Type</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Number</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260" w:type="dxa"/>
            <w:vAlign w:val="bottom"/>
            <w:tcBorders>
              <w:bottom w:val="single" w:sz="8" w:color="auto"/>
            </w:tcBorders>
          </w:tcPr>
          <w:p>
            <w:pPr>
              <w:jc w:val="center"/>
              <w:ind w:left="23"/>
              <w:spacing w:after="0"/>
              <w:rPr>
                <w:sz w:val="20"/>
                <w:szCs w:val="20"/>
                <w:color w:val="auto"/>
              </w:rPr>
            </w:pPr>
            <w:r>
              <w:rPr>
                <w:rFonts w:ascii="Arial" w:cs="Arial" w:eastAsia="Arial" w:hAnsi="Arial"/>
                <w:sz w:val="12"/>
                <w:szCs w:val="12"/>
                <w:b w:val="1"/>
                <w:bCs w:val="1"/>
                <w:color w:val="auto"/>
                <w:w w:val="95"/>
              </w:rPr>
              <w:t>Fo</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3"/>
          </w:tcPr>
          <w:p>
            <w:pPr>
              <w:jc w:val="center"/>
              <w:ind w:right="137"/>
              <w:spacing w:after="0" w:line="119" w:lineRule="exact"/>
              <w:rPr>
                <w:sz w:val="20"/>
                <w:szCs w:val="20"/>
                <w:color w:val="auto"/>
              </w:rPr>
            </w:pPr>
            <w:r>
              <w:rPr>
                <w:rFonts w:ascii="Arial" w:cs="Arial" w:eastAsia="Arial" w:hAnsi="Arial"/>
                <w:sz w:val="12"/>
                <w:szCs w:val="12"/>
                <w:b w:val="1"/>
                <w:bCs w:val="1"/>
                <w:color w:val="auto"/>
                <w:w w:val="87"/>
              </w:rPr>
              <w:t>Newly Registered Securities</w:t>
            </w:r>
          </w:p>
        </w:tc>
        <w:tc>
          <w:tcPr>
            <w:tcW w:w="5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line="132" w:lineRule="exact"/>
              <w:rPr>
                <w:sz w:val="20"/>
                <w:szCs w:val="20"/>
                <w:color w:val="auto"/>
              </w:rPr>
            </w:pPr>
            <w:r>
              <w:rPr>
                <w:rFonts w:ascii="Arial" w:cs="Arial" w:eastAsia="Arial" w:hAnsi="Arial"/>
                <w:sz w:val="13"/>
                <w:szCs w:val="13"/>
                <w:color w:val="auto"/>
                <w:w w:val="90"/>
              </w:rPr>
              <w:t>Fees to Be Paid</w:t>
            </w:r>
          </w:p>
        </w:tc>
        <w:tc>
          <w:tcPr>
            <w:tcW w:w="48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9"/>
              </w:rPr>
              <w:t>Equity</w:t>
            </w:r>
          </w:p>
        </w:tc>
        <w:tc>
          <w:tcPr>
            <w:tcW w:w="244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1"/>
              </w:rPr>
              <w:t>Common stock, par value $0.0001 per share</w:t>
            </w: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4"/>
              </w:rPr>
              <w:t>Other(2)</w:t>
            </w:r>
          </w:p>
        </w:tc>
        <w:tc>
          <w:tcPr>
            <w:tcW w:w="82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3"/>
              </w:rPr>
              <w:t>11,000,000(3)</w:t>
            </w:r>
          </w:p>
        </w:tc>
        <w:tc>
          <w:tcPr>
            <w:tcW w:w="58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2"/>
              </w:rPr>
              <w:t>$4.93</w:t>
            </w:r>
          </w:p>
        </w:tc>
        <w:tc>
          <w:tcPr>
            <w:tcW w:w="88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5"/>
              </w:rPr>
              <w:t>$54,230,000(2)</w:t>
            </w:r>
          </w:p>
        </w:tc>
        <w:tc>
          <w:tcPr>
            <w:tcW w:w="56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5"/>
              </w:rPr>
              <w:t>.0000927</w:t>
            </w:r>
          </w:p>
        </w:tc>
        <w:tc>
          <w:tcPr>
            <w:tcW w:w="68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0"/>
              </w:rPr>
              <w:t>$5,027</w:t>
            </w:r>
          </w:p>
        </w:tc>
        <w:tc>
          <w:tcPr>
            <w:tcW w:w="8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00" w:type="dxa"/>
            <w:vAlign w:val="bottom"/>
            <w:tcBorders>
              <w:bottom w:val="single" w:sz="8" w:color="auto"/>
              <w:right w:val="single" w:sz="8" w:color="auto"/>
            </w:tcBorders>
            <w:gridSpan w:val="2"/>
          </w:tcPr>
          <w:p>
            <w:pPr>
              <w:spacing w:after="0" w:line="132" w:lineRule="exact"/>
              <w:rPr>
                <w:sz w:val="20"/>
                <w:szCs w:val="20"/>
                <w:color w:val="auto"/>
              </w:rPr>
            </w:pPr>
            <w:r>
              <w:rPr>
                <w:rFonts w:ascii="Arial" w:cs="Arial" w:eastAsia="Arial" w:hAnsi="Arial"/>
                <w:sz w:val="13"/>
                <w:szCs w:val="13"/>
                <w:color w:val="auto"/>
                <w:w w:val="92"/>
              </w:rPr>
              <w:t>Fees to Be Paid</w:t>
            </w:r>
          </w:p>
        </w:tc>
        <w:tc>
          <w:tcPr>
            <w:tcW w:w="48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9"/>
              </w:rPr>
              <w:t>Equity</w:t>
            </w:r>
          </w:p>
        </w:tc>
        <w:tc>
          <w:tcPr>
            <w:tcW w:w="244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1"/>
              </w:rPr>
              <w:t>Common stock, par value $0.0001 per share</w:t>
            </w: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4"/>
              </w:rPr>
              <w:t>Other(2)</w:t>
            </w:r>
          </w:p>
        </w:tc>
        <w:tc>
          <w:tcPr>
            <w:tcW w:w="82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4"/>
              </w:rPr>
              <w:t>1,000,000(4)</w:t>
            </w:r>
          </w:p>
        </w:tc>
        <w:tc>
          <w:tcPr>
            <w:tcW w:w="58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2"/>
              </w:rPr>
              <w:t>$4.93</w:t>
            </w:r>
          </w:p>
        </w:tc>
        <w:tc>
          <w:tcPr>
            <w:tcW w:w="88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3"/>
              </w:rPr>
              <w:t>$4,930,000(2)</w:t>
            </w:r>
          </w:p>
        </w:tc>
        <w:tc>
          <w:tcPr>
            <w:tcW w:w="56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5"/>
              </w:rPr>
              <w:t>.0000927</w:t>
            </w:r>
          </w:p>
        </w:tc>
        <w:tc>
          <w:tcPr>
            <w:tcW w:w="68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6"/>
              </w:rPr>
              <w:t>$457</w:t>
            </w:r>
          </w:p>
        </w:tc>
        <w:tc>
          <w:tcPr>
            <w:tcW w:w="8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900" w:type="dxa"/>
            <w:vAlign w:val="bottom"/>
            <w:tcBorders>
              <w:right w:val="single" w:sz="8" w:color="auto"/>
            </w:tcBorders>
            <w:gridSpan w:val="2"/>
          </w:tcPr>
          <w:p>
            <w:pPr>
              <w:spacing w:after="0" w:line="113" w:lineRule="exact"/>
              <w:rPr>
                <w:sz w:val="20"/>
                <w:szCs w:val="20"/>
                <w:color w:val="auto"/>
              </w:rPr>
            </w:pPr>
            <w:r>
              <w:rPr>
                <w:rFonts w:ascii="Arial" w:cs="Arial" w:eastAsia="Arial" w:hAnsi="Arial"/>
                <w:sz w:val="13"/>
                <w:szCs w:val="13"/>
                <w:color w:val="auto"/>
                <w:w w:val="92"/>
              </w:rPr>
              <w:t>Fees Previously</w:t>
            </w:r>
          </w:p>
        </w:tc>
        <w:tc>
          <w:tcPr>
            <w:tcW w:w="48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Paid</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X</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X</w:t>
            </w: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X</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X</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X</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X</w:t>
            </w:r>
          </w:p>
        </w:tc>
        <w:tc>
          <w:tcPr>
            <w:tcW w:w="56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X</w:t>
            </w:r>
          </w:p>
        </w:tc>
        <w:tc>
          <w:tcPr>
            <w:tcW w:w="84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3"/>
          </w:tcPr>
          <w:p>
            <w:pPr>
              <w:jc w:val="center"/>
              <w:ind w:right="137"/>
              <w:spacing w:after="0" w:line="132" w:lineRule="exact"/>
              <w:rPr>
                <w:sz w:val="20"/>
                <w:szCs w:val="20"/>
                <w:color w:val="auto"/>
              </w:rPr>
            </w:pPr>
            <w:r>
              <w:rPr>
                <w:rFonts w:ascii="Arial" w:cs="Arial" w:eastAsia="Arial" w:hAnsi="Arial"/>
                <w:sz w:val="13"/>
                <w:szCs w:val="13"/>
                <w:b w:val="1"/>
                <w:bCs w:val="1"/>
                <w:color w:val="auto"/>
                <w:w w:val="95"/>
              </w:rPr>
              <w:t>Carry Forward Securities</w:t>
            </w:r>
          </w:p>
        </w:tc>
        <w:tc>
          <w:tcPr>
            <w:tcW w:w="5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2"/>
          </w:tcPr>
          <w:p>
            <w:pPr>
              <w:jc w:val="center"/>
              <w:ind w:left="1015"/>
              <w:spacing w:after="0" w:line="132" w:lineRule="exact"/>
              <w:rPr>
                <w:sz w:val="20"/>
                <w:szCs w:val="20"/>
                <w:color w:val="auto"/>
              </w:rPr>
            </w:pPr>
            <w:r>
              <w:rPr>
                <w:rFonts w:ascii="Arial" w:cs="Arial" w:eastAsia="Arial" w:hAnsi="Arial"/>
                <w:sz w:val="13"/>
                <w:szCs w:val="13"/>
                <w:b w:val="1"/>
                <w:bCs w:val="1"/>
                <w:color w:val="auto"/>
                <w:w w:val="95"/>
              </w:rPr>
              <w:t>Total Offering Amounts</w:t>
            </w:r>
          </w:p>
        </w:tc>
        <w:tc>
          <w:tcPr>
            <w:tcW w:w="74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4"/>
              </w:rPr>
              <w:t>$54,160,000</w:t>
            </w:r>
          </w:p>
        </w:tc>
        <w:tc>
          <w:tcPr>
            <w:tcW w:w="56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3"/>
              </w:rPr>
              <w:t>$5,484.13</w:t>
            </w:r>
          </w:p>
        </w:tc>
        <w:tc>
          <w:tcPr>
            <w:tcW w:w="8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200" w:type="dxa"/>
            <w:vAlign w:val="bottom"/>
            <w:tcBorders>
              <w:bottom w:val="single" w:sz="8" w:color="auto"/>
            </w:tcBorders>
            <w:gridSpan w:val="3"/>
          </w:tcPr>
          <w:p>
            <w:pPr>
              <w:jc w:val="center"/>
              <w:ind w:left="275"/>
              <w:spacing w:after="0" w:line="132" w:lineRule="exact"/>
              <w:rPr>
                <w:sz w:val="20"/>
                <w:szCs w:val="20"/>
                <w:color w:val="auto"/>
              </w:rPr>
            </w:pPr>
            <w:r>
              <w:rPr>
                <w:rFonts w:ascii="Arial" w:cs="Arial" w:eastAsia="Arial" w:hAnsi="Arial"/>
                <w:sz w:val="13"/>
                <w:szCs w:val="13"/>
                <w:b w:val="1"/>
                <w:bCs w:val="1"/>
                <w:color w:val="auto"/>
                <w:w w:val="91"/>
              </w:rPr>
              <w:t>Total Fees Previously Paid</w:t>
            </w:r>
          </w:p>
        </w:tc>
        <w:tc>
          <w:tcPr>
            <w:tcW w:w="820" w:type="dxa"/>
            <w:vAlign w:val="bottom"/>
            <w:tcBorders>
              <w:bottom w:val="single" w:sz="8" w:color="auto"/>
              <w:right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4"/>
              </w:rPr>
              <w:t>0.00</w:t>
            </w:r>
          </w:p>
        </w:tc>
        <w:tc>
          <w:tcPr>
            <w:tcW w:w="8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2"/>
          </w:tcPr>
          <w:p>
            <w:pPr>
              <w:jc w:val="center"/>
              <w:ind w:left="1015"/>
              <w:spacing w:after="0" w:line="132" w:lineRule="exact"/>
              <w:rPr>
                <w:sz w:val="20"/>
                <w:szCs w:val="20"/>
                <w:color w:val="auto"/>
              </w:rPr>
            </w:pPr>
            <w:r>
              <w:rPr>
                <w:rFonts w:ascii="Arial" w:cs="Arial" w:eastAsia="Arial" w:hAnsi="Arial"/>
                <w:sz w:val="13"/>
                <w:szCs w:val="13"/>
                <w:b w:val="1"/>
                <w:bCs w:val="1"/>
                <w:color w:val="auto"/>
                <w:w w:val="92"/>
              </w:rPr>
              <w:t>Total Fee Offsets</w:t>
            </w:r>
          </w:p>
        </w:tc>
        <w:tc>
          <w:tcPr>
            <w:tcW w:w="74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4"/>
              </w:rPr>
              <w:t>0.00</w:t>
            </w:r>
          </w:p>
        </w:tc>
        <w:tc>
          <w:tcPr>
            <w:tcW w:w="8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2"/>
          </w:tcPr>
          <w:p>
            <w:pPr>
              <w:jc w:val="center"/>
              <w:ind w:left="1015"/>
              <w:spacing w:after="0" w:line="132" w:lineRule="exact"/>
              <w:rPr>
                <w:sz w:val="20"/>
                <w:szCs w:val="20"/>
                <w:color w:val="auto"/>
              </w:rPr>
            </w:pPr>
            <w:r>
              <w:rPr>
                <w:rFonts w:ascii="Arial" w:cs="Arial" w:eastAsia="Arial" w:hAnsi="Arial"/>
                <w:sz w:val="13"/>
                <w:szCs w:val="13"/>
                <w:b w:val="1"/>
                <w:bCs w:val="1"/>
                <w:color w:val="auto"/>
                <w:w w:val="93"/>
              </w:rPr>
              <w:t>Net Fee Due</w:t>
            </w:r>
          </w:p>
        </w:tc>
        <w:tc>
          <w:tcPr>
            <w:tcW w:w="74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center"/>
              <w:spacing w:after="0" w:line="132" w:lineRule="exact"/>
              <w:rPr>
                <w:sz w:val="20"/>
                <w:szCs w:val="20"/>
                <w:color w:val="auto"/>
              </w:rPr>
            </w:pPr>
            <w:r>
              <w:rPr>
                <w:rFonts w:ascii="Arial" w:cs="Arial" w:eastAsia="Arial" w:hAnsi="Arial"/>
                <w:sz w:val="13"/>
                <w:szCs w:val="13"/>
                <w:color w:val="auto"/>
                <w:w w:val="93"/>
              </w:rPr>
              <w:t>$5,484.13</w:t>
            </w:r>
          </w:p>
        </w:tc>
        <w:tc>
          <w:tcPr>
            <w:tcW w:w="8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left="406" w:right="1420" w:hanging="406"/>
        <w:spacing w:after="0" w:line="252" w:lineRule="auto"/>
        <w:tabs>
          <w:tab w:leader="none" w:pos="406" w:val="left"/>
        </w:tabs>
        <w:numPr>
          <w:ilvl w:val="0"/>
          <w:numId w:val="10"/>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“Securities Act”), this registration statement also covers an indeterminate number of additional shares that may be issued to prevent dilution resulting from stock splits, stock dividends or similar transactions.</w:t>
      </w:r>
    </w:p>
    <w:p>
      <w:pPr>
        <w:spacing w:after="0" w:line="2" w:lineRule="exact"/>
        <w:rPr>
          <w:rFonts w:ascii="Arial" w:cs="Arial" w:eastAsia="Arial" w:hAnsi="Arial"/>
          <w:sz w:val="17"/>
          <w:szCs w:val="17"/>
          <w:color w:val="auto"/>
        </w:rPr>
      </w:pPr>
    </w:p>
    <w:p>
      <w:pPr>
        <w:jc w:val="both"/>
        <w:ind w:left="406" w:right="580" w:hanging="406"/>
        <w:spacing w:after="0" w:line="247" w:lineRule="auto"/>
        <w:tabs>
          <w:tab w:leader="none" w:pos="406"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Estimated pursuant to Rules 457(c) and 457(h) under the Securities Act, solely for the purposes of calculating the registration fee and based on the average of the high and low prices of the registrant’s common stock as reported on the Nasdaq Stock Market LLC on January 28, 2022, which date is within five business days prior to the filing of this registration statement.</w:t>
      </w:r>
    </w:p>
    <w:p>
      <w:pPr>
        <w:spacing w:after="0" w:line="2" w:lineRule="exact"/>
        <w:rPr>
          <w:rFonts w:ascii="Arial" w:cs="Arial" w:eastAsia="Arial" w:hAnsi="Arial"/>
          <w:sz w:val="17"/>
          <w:szCs w:val="17"/>
          <w:color w:val="auto"/>
        </w:rPr>
      </w:pPr>
    </w:p>
    <w:p>
      <w:pPr>
        <w:ind w:left="406" w:right="620" w:hanging="406"/>
        <w:spacing w:after="0" w:line="247" w:lineRule="auto"/>
        <w:tabs>
          <w:tab w:leader="none" w:pos="406"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shares of the registrant’s common stock reserved for issuance upon exercise of stock options outstanding under the SAB Biotherapeutics, Inc. 2021 Omnibus Equity Incentive Plan (the “2021 Plan”). To the extent that awards outstanding under the 2021 Plan are forfeited, cancelled, surrendered or terminated without issuance of shares, the shares of common stock subject to such awards will be available for future issuance under the 2021 Plan.</w:t>
      </w:r>
    </w:p>
    <w:p>
      <w:pPr>
        <w:spacing w:after="0" w:line="3" w:lineRule="exact"/>
        <w:rPr>
          <w:rFonts w:ascii="Arial" w:cs="Arial" w:eastAsia="Arial" w:hAnsi="Arial"/>
          <w:sz w:val="17"/>
          <w:szCs w:val="17"/>
          <w:color w:val="auto"/>
        </w:rPr>
      </w:pPr>
    </w:p>
    <w:p>
      <w:pPr>
        <w:ind w:left="406" w:right="880" w:hanging="406"/>
        <w:spacing w:after="0" w:line="255" w:lineRule="auto"/>
        <w:tabs>
          <w:tab w:leader="none" w:pos="406"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shares of the registrant’s common stock currently reserved for future issuance under the SAB Biotherapeutics, Inc. 2021 Employee Stock Purchase Plan.</w:t>
      </w:r>
    </w:p>
    <w:sectPr>
      <w:pgSz w:w="11900" w:h="16838" w:orient="portrait"/>
      <w:cols w:equalWidth="0" w:num="1">
        <w:col w:w="10866"/>
      </w:cols>
      <w:pgMar w:left="794"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515F007C"/>
    <w:multiLevelType w:val="hybridMultilevel"/>
    <w:lvl w:ilvl="0">
      <w:lvlJc w:val="left"/>
      <w:lvlText w:val="%1"/>
      <w:numFmt w:val="lowerLetter"/>
      <w:start w:val="1"/>
    </w:lvl>
    <w:lvl w:ilvl="1">
      <w:lvlJc w:val="left"/>
      <w:lvlText w:val="(%2)"/>
      <w:numFmt w:val="decimal"/>
      <w:start w:val="2"/>
    </w:lvl>
  </w:abstractNum>
  <w:abstractNum w:abstractNumId="7">
    <w:nsid w:val="5BD062C2"/>
    <w:multiLevelType w:val="hybridMultilevel"/>
    <w:lvl w:ilvl="0">
      <w:lvlJc w:val="left"/>
      <w:lvlText w:val="(%1)"/>
      <w:numFmt w:val="lowerLetter"/>
      <w:start w:val="2"/>
    </w:lvl>
    <w:lvl w:ilvl="1">
      <w:lvlJc w:val="left"/>
      <w:lvlText w:val="%2"/>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41" Type="http://schemas.openxmlformats.org/officeDocument/2006/relationships/image" Target="media/image15.png"/><Relationship Id="rId42" Type="http://schemas.openxmlformats.org/officeDocument/2006/relationships/image" Target="media/image16.png"/><Relationship Id="rId43" Type="http://schemas.openxmlformats.org/officeDocument/2006/relationships/image" Target="media/image17.png"/><Relationship Id="rId44" Type="http://schemas.openxmlformats.org/officeDocument/2006/relationships/image" Target="media/image18.png"/><Relationship Id="rId45" Type="http://schemas.openxmlformats.org/officeDocument/2006/relationships/image" Target="media/image19.jpeg"/><Relationship Id="rId46" Type="http://schemas.openxmlformats.org/officeDocument/2006/relationships/image" Target="media/image20.png"/><Relationship Id="rId47" Type="http://schemas.openxmlformats.org/officeDocument/2006/relationships/image" Target="media/image21.jpeg"/><Relationship Id="rId20" Type="http://schemas.openxmlformats.org/officeDocument/2006/relationships/hyperlink" Target="http://www.sec.gov/Archives/edgar/data/1833214/000119312521369110/d255073d424b3.htm" TargetMode="External"/><Relationship Id="rId21" Type="http://schemas.openxmlformats.org/officeDocument/2006/relationships/hyperlink" Target="http://www.sec.gov/ix?doc=/Archives/edgar/data/1833214/000149315221030474/forms-1.htm" TargetMode="External"/><Relationship Id="rId22" Type="http://schemas.openxmlformats.org/officeDocument/2006/relationships/hyperlink" Target="http://www.sec.gov/ix?doc=/Archives/edgar/data/1833214/000149315221029551/form10-q.htm" TargetMode="External"/><Relationship Id="rId23" Type="http://schemas.openxmlformats.org/officeDocument/2006/relationships/hyperlink" Target="http://www.sec.gov/Archives/edgar/data/1833214/000149315221000529/form8-a12b.htm" TargetMode="External"/><Relationship Id="rId24" Type="http://schemas.openxmlformats.org/officeDocument/2006/relationships/hyperlink" Target="http://www.sec.gov/Archives/edgar/data/1833214/000149315221000842/form8-k.htm" TargetMode="External"/><Relationship Id="rId25" Type="http://schemas.openxmlformats.org/officeDocument/2006/relationships/hyperlink" Target="http://www.sec.gov/Archives/edgar/data/1833214/000149315221001543/form8-k.htm" TargetMode="External"/><Relationship Id="rId26" Type="http://schemas.openxmlformats.org/officeDocument/2006/relationships/hyperlink" Target="http://www.sec.gov/ix?doc=/Archives/edgar/data/1833214/000149315221019840/form8-k.htm" TargetMode="External"/><Relationship Id="rId27" Type="http://schemas.openxmlformats.org/officeDocument/2006/relationships/hyperlink" Target="http://www.sec.gov/ix?doc=/Archives/edgar/data/1833214/000149315221025137/form8-k.htm" TargetMode="External"/><Relationship Id="rId28" Type="http://schemas.openxmlformats.org/officeDocument/2006/relationships/hyperlink" Target="http://www.sec.gov/ix?doc=/Archives/edgar/data/1833214/000149315221025286/form8-k.htm" TargetMode="External"/><Relationship Id="rId29" Type="http://schemas.openxmlformats.org/officeDocument/2006/relationships/hyperlink" Target="http://www.sec.gov/ix?doc=/Archives/edgar/data/1833214/000149315221025933/form8-k.htm" TargetMode="External"/><Relationship Id="rId30" Type="http://schemas.openxmlformats.org/officeDocument/2006/relationships/hyperlink" Target="http://www.sec.gov/ix?doc=/Archives/edgar/data/1833214/000149315221026649/form8-k.htm" TargetMode="External"/><Relationship Id="rId31" Type="http://schemas.openxmlformats.org/officeDocument/2006/relationships/hyperlink" Target="http://www.sec.gov/ix?doc=/Archives/edgar/data/1833214/000149315221029397/form8-k.htm" TargetMode="External"/><Relationship Id="rId32" Type="http://schemas.openxmlformats.org/officeDocument/2006/relationships/hyperlink" Target="http://www.sec.gov/ix?doc=/Archives/edgar/data/1833214/000149315221029460/form8k.htm" TargetMode="External"/><Relationship Id="rId33" Type="http://schemas.openxmlformats.org/officeDocument/2006/relationships/hyperlink" Target="http://www.sec.gov/ix?doc=/Archives/edgar/data/1833214/000149315221029557/form8-ka.htm" TargetMode="External"/><Relationship Id="rId34" Type="http://schemas.openxmlformats.org/officeDocument/2006/relationships/hyperlink" Target="http://www.sec.gov/ix?doc=/Archives/edgar/data/1833214/000149315222000588/form8-k.htm" TargetMode="External"/><Relationship Id="rId37" Type="http://schemas.openxmlformats.org/officeDocument/2006/relationships/hyperlink" Target="http://www.sec.gov/Archives/edgar/data/1833214/000149315221026649/ex3-1.htm" TargetMode="External"/><Relationship Id="rId38" Type="http://schemas.openxmlformats.org/officeDocument/2006/relationships/hyperlink" Target="http://www.sec.gov/Archives/edgar/data/1833214/000149315221026649/ex3-2.htm" TargetMode="External"/><Relationship Id="rId39" Type="http://schemas.openxmlformats.org/officeDocument/2006/relationships/hyperlink" Target="http://www.sec.gov/Archives/edgar/data/1833214/000149315221000090/ex4-2.htm" TargetMode="External"/><Relationship Id="rId40" Type="http://schemas.openxmlformats.org/officeDocument/2006/relationships/hyperlink" Target="http://www.sec.gov/Archives/edgar/data/1833214/000149315221023619/form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2022-02-01T15:12:34Z</dcterms:created>
  <dcterms:modified xsi:type="dcterms:W3CDTF">2022-02-01T15:12:34Z</dcterms:modified>
</cp:coreProperties>
</file>