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SAB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6,627,501.00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6,627,501.00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6,627,501.00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Joseph Edelman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6,627,501.00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6,627,501.00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6,627,501.00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Life Sciences Master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6,627,501.00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6,627,501.00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6,627,501.00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5"/>
        <w:gridCol w:w="8965"/>
        <w:gridCol w:w="155"/>
      </w:tblGrid>
      <w:tr>
        <w:trPr/>
        <w:tc>
          <w:tcPr>
            <w:tcW w:w="1085" w:type="dxa"/>
            <w:tcBorders/>
            <w:vAlign w:val="center"/>
          </w:tcPr>
          <w:p>
            <w:pPr>
              <w:pStyle w:val="TableContents"/>
              <w:bidi w:val="0"/>
              <w:spacing w:before="0" w:after="283"/>
              <w:jc w:val="left"/>
              <w:rPr/>
            </w:pPr>
            <w:r>
              <w:rPr/>
              <w:t>Item 1.</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issuer: </w:t>
            </w:r>
          </w:p>
          <w:p>
            <w:pPr>
              <w:pStyle w:val="TableContents"/>
              <w:bidi w:val="0"/>
              <w:spacing w:before="0" w:after="0"/>
              <w:jc w:val="left"/>
              <w:rPr/>
            </w:pPr>
            <w:r>
              <w:rPr/>
              <w:t>SAB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777 W 41st St, Suite 401, Miami Beach, Florida 33140</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2.</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with respect to shares of Common Stock, $0.0001 par value per share (the "Common Stock") of SAB BIOTHERAPEUTICS, INC. (the "Issuer") are: Perceptive Advisors LLC ("Perceptive Advisors") Joseph Edelman ("Mr. Edelman") Perceptive Life Sciences Master Fund, Ltd. (the "Master Fund")</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51 Astor Place, 10th Floor New York, NY 10003</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jc w:val="left"/>
              <w:rPr/>
            </w:pPr>
            <w:r>
              <w:rPr/>
              <w:t xml:space="preserve">Citizenship: </w:t>
            </w:r>
          </w:p>
          <w:p>
            <w:pPr>
              <w:pStyle w:val="TableContents"/>
              <w:bidi w:val="0"/>
              <w:spacing w:before="0" w:after="0"/>
              <w:jc w:val="left"/>
              <w:rPr/>
            </w:pPr>
            <w:r>
              <w:rPr/>
              <w:t>Perceptive Advisors is a Delaware limited liability company Mr. Edelman is a United States citizen The Master Fund is a Cayman Islands corporation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3.</w:t>
            </w:r>
          </w:p>
        </w:tc>
        <w:tc>
          <w:tcPr>
            <w:tcW w:w="896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(f)</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(g)</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(h)</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(j)</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(k)</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912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4.</w:t>
            </w:r>
          </w:p>
        </w:tc>
        <w:tc>
          <w:tcPr>
            <w:tcW w:w="896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each Reporting Person is set forth in Rows 5 through 9 and 11 of the cover pages to this Schedule 13G. The ownership percentages reported are based on 90,986,368 shares of Common Stock outstanding as of August 3, 2026, as reported by the Issuer in its Quarterly Report on Form 10-Q filed with the Securities and Exchange Commission on August 6, 2026. Neither Perceptive Advisors nor Mr. Edelman directly holds any shares of Common Stock. The Master Fund directly holds 6,627,501 shares of Common Stock. Perceptive Advisors serves as the investment manager of the Master Fund and may be deemed to beneficially own the securities directly held by the Master Fund. Mr. Edelman is the managing member of Perceptive Advisors and may be deemed to beneficially own the securities directly held by the Master Fund.</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Perceptive Advisors: 7.3% Mr. Edelman: 7.3% Master Fund: 7.3%  %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Perceptive Advisors: 6,627,501 Mr. Edelman: 6,627,501 Master Fund: 6,627,501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Perceptive Advisors: 6,627,501 Mr. Edelman: 6,627,501 Master Fund: 6,627,501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5.</w:t>
            </w:r>
          </w:p>
        </w:tc>
        <w:tc>
          <w:tcPr>
            <w:tcW w:w="896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6.</w:t>
            </w:r>
          </w:p>
        </w:tc>
        <w:tc>
          <w:tcPr>
            <w:tcW w:w="896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7.</w:t>
            </w:r>
          </w:p>
        </w:tc>
        <w:tc>
          <w:tcPr>
            <w:tcW w:w="896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8.</w:t>
            </w:r>
          </w:p>
        </w:tc>
        <w:tc>
          <w:tcPr>
            <w:tcW w:w="896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9.</w:t>
            </w:r>
          </w:p>
        </w:tc>
        <w:tc>
          <w:tcPr>
            <w:tcW w:w="896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1247</Words>
  <Characters>6531</Characters>
  <CharactersWithSpaces>7729</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