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SAB Biotherapeutics,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Caligan Partners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7,967,207.00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7,967,207.00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7,697,207.00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10.4 %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JOHNSON DAVID EDWARD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7,967,207.00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7,967,207.00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7,967,207.00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10.4 %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right="6200" w:hanging="1112"/>
        <w:spacing w:after="0" w:line="489" w:lineRule="auto"/>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 HC, IN</w:t>
      </w:r>
    </w:p>
    <w:p>
      <w:pPr>
        <w:spacing w:after="0" w:line="200" w:lineRule="exact"/>
        <w:rPr>
          <w:sz w:val="20"/>
          <w:szCs w:val="20"/>
          <w:color w:val="auto"/>
        </w:rPr>
      </w:pPr>
    </w:p>
    <w:p>
      <w:pPr>
        <w:spacing w:after="0" w:line="2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SAB Biotherapeutics,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777 W 41ST ST, SUITE 401, MIAMI BEACH, FLORIDA, 33140.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line="253" w:lineRule="auto"/>
        <w:rPr>
          <w:sz w:val="20"/>
          <w:szCs w:val="20"/>
          <w:color w:val="auto"/>
        </w:rPr>
      </w:pPr>
      <w:r>
        <w:rPr>
          <w:rFonts w:ascii="Times New Roman" w:cs="Times New Roman" w:eastAsia="Times New Roman" w:hAnsi="Times New Roman"/>
          <w:sz w:val="21"/>
          <w:szCs w:val="21"/>
          <w:color w:val="auto"/>
        </w:rPr>
        <w:t>This statement is filed by: (i) Caligan Partners LP, a Delaware limited partnership ("Caligan"), which serves indirectly as the investment manager to certain funds and accounts (the "Caligan Funds and Accounts"), with respect to the</w:t>
      </w:r>
    </w:p>
    <w:p>
      <w:pPr>
        <w:spacing w:after="0" w:line="1" w:lineRule="exact"/>
        <w:rPr>
          <w:sz w:val="20"/>
          <w:szCs w:val="20"/>
          <w:color w:val="auto"/>
        </w:rPr>
      </w:pPr>
    </w:p>
    <w:p>
      <w:pPr>
        <w:ind w:left="920" w:hanging="912"/>
        <w:spacing w:after="0" w:line="233"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shares of common stock, $0.0001 par value per share ("Common Stock") of SAB Biotherapeutics, Inc., a Delaware corporation (the "Company"), held by the Caligan Funds and Accounts; and (ii) David Johnson, the Managing Partner of Caligan and Managing Member of Caligan Partners GP LLC, the general partner of Caligan ("Mr. Johnson"), with respect to the shares of Common Stock held by the Caligan Funds and Accounts. Each of the foregoing is referred to as a "Reporting Person" and collectively as the "Reporting Persons."</w:t>
      </w:r>
    </w:p>
    <w:p>
      <w:pPr>
        <w:sectPr>
          <w:pgSz w:w="11900" w:h="16838" w:orient="portrait"/>
          <w:cols w:equalWidth="0" w:num="1">
            <w:col w:w="11140"/>
          </w:cols>
          <w:pgMar w:left="360" w:top="111" w:right="399" w:bottom="0" w:gutter="0" w:footer="0" w:header="0"/>
        </w:sect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The principal business address of each of the Reporting Persons is 780 Third Avenue, 30th Floor, New York, NY 10017.</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Caligan is a Delaware limited partnership. Mr. Johnson is a United States citizen.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$0.0001 par value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8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20"/>
        <w:spacing w:after="0" w:line="241" w:lineRule="auto"/>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sectPr>
          <w:pgSz w:w="11900" w:h="16838" w:orient="portrait"/>
          <w:cols w:equalWidth="0" w:num="2">
            <w:col w:w="620" w:space="300"/>
            <w:col w:w="10220"/>
          </w:cols>
          <w:pgMar w:left="360" w:top="111" w:right="399" w:bottom="0" w:gutter="0" w:footer="0" w:header="0"/>
          <w:type w:val="continuous"/>
        </w:sect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The information required by Item 4(a) is set forth in Row 9 of the cover page for each of the Reporting Persons and is</w:t>
      </w:r>
    </w:p>
    <w:p>
      <w:pPr>
        <w:spacing w:after="0" w:line="26" w:lineRule="exact"/>
        <w:rPr>
          <w:sz w:val="20"/>
          <w:szCs w:val="20"/>
          <w:color w:val="auto"/>
        </w:rPr>
      </w:pPr>
    </w:p>
    <w:p>
      <w:pPr>
        <w:ind w:left="920" w:right="580" w:hanging="912"/>
        <w:spacing w:after="0" w:line="234"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incorporated herein by reference. The percentages set forth in this Schedule 13G are calculated based upon an aggregate of 76,464,094 shares of Common Stock outstanding as of May 6, 2026, as reported in the Company's Quarterly Report on Form 10-Q for the quarterly period ended March 31, 2026, filed with the Securities and Exchange Commission on May 12, 2026.</w:t>
      </w:r>
    </w:p>
    <w:p>
      <w:pPr>
        <w:sectPr>
          <w:pgSz w:w="11900" w:h="16838" w:orient="portrait"/>
          <w:cols w:equalWidth="0" w:num="1">
            <w:col w:w="11140"/>
          </w:cols>
          <w:pgMar w:left="360" w:top="111" w:right="399" w:bottom="0" w:gutter="0" w:footer="0" w:header="0"/>
          <w:type w:val="continuous"/>
        </w:sectPr>
      </w:pPr>
    </w:p>
    <w:bookmarkStart w:id="3" w:name="page4"/>
    <w:bookmarkEnd w:id="3"/>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10.4% %</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jc w:val="both"/>
        <w:ind w:left="920" w:right="2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 is set forth in Row 5 of the cover page for each of the Reporting Persons and is incorporated herein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right="34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4(c)(ii) is set forth in Row 6 of the cover page for each of the Reporting Persons and is incorporated herein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920" w:right="28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4(c)(iii) is set forth in Row 7 of the cover page for each of the Reporting Persons and is incorporated herein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left="920" w:right="28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4(c)(iv) is set forth in Row 8 of the cover page for each of the Reporting Persons and is incorporated herein by reference.</w:t>
      </w:r>
    </w:p>
    <w:p>
      <w:pPr>
        <w:spacing w:after="0" w:line="23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ectPr>
          <w:pgSz w:w="11900" w:h="16838" w:orient="portrait"/>
          <w:cols w:equalWidth="0" w:num="1">
            <w:col w:w="11140"/>
          </w:cols>
          <w:pgMar w:left="360" w:top="112"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2(a).</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2" w:right="399" w:bottom="0"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2"/>
          <w:szCs w:val="22"/>
          <w:color w:val="auto"/>
        </w:rPr>
        <w:t>Caligan Partners LP</w:t>
      </w:r>
    </w:p>
    <w:p>
      <w:pPr>
        <w:spacing w:after="0" w:line="152" w:lineRule="exact"/>
        <w:rPr>
          <w:sz w:val="20"/>
          <w:szCs w:val="20"/>
          <w:color w:val="auto"/>
        </w:rPr>
      </w:pPr>
    </w:p>
    <w:p>
      <w:pPr>
        <w:ind w:left="4240"/>
        <w:spacing w:after="0"/>
        <w:tabs>
          <w:tab w:leader="none" w:pos="5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Johnson</w:t>
      </w:r>
    </w:p>
    <w:p>
      <w:pPr>
        <w:spacing w:after="0" w:line="4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color w:val="auto"/>
        </w:rPr>
        <w:t>Name/Title: David Johnson, Managing Partner</w:t>
      </w:r>
    </w:p>
    <w:p>
      <w:pPr>
        <w:spacing w:after="0" w:line="44" w:lineRule="exact"/>
        <w:rPr>
          <w:sz w:val="20"/>
          <w:szCs w:val="20"/>
          <w:color w:val="auto"/>
        </w:rPr>
      </w:pPr>
    </w:p>
    <w:p>
      <w:pPr>
        <w:ind w:left="4240"/>
        <w:spacing w:after="0"/>
        <w:tabs>
          <w:tab w:leader="none" w:pos="53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color w:val="auto"/>
        </w:rPr>
        <w:t>JOHNSON DAVID EDWARD</w:t>
      </w:r>
    </w:p>
    <w:p>
      <w:pPr>
        <w:spacing w:after="0" w:line="152" w:lineRule="exact"/>
        <w:rPr>
          <w:sz w:val="20"/>
          <w:szCs w:val="20"/>
          <w:color w:val="auto"/>
        </w:rPr>
      </w:pPr>
    </w:p>
    <w:p>
      <w:pPr>
        <w:ind w:left="3740"/>
        <w:spacing w:after="0"/>
        <w:tabs>
          <w:tab w:leader="none" w:pos="4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Johnson</w:t>
      </w:r>
    </w:p>
    <w:p>
      <w:pPr>
        <w:sectPr>
          <w:pgSz w:w="11900" w:h="16838" w:orient="portrait"/>
          <w:cols w:equalWidth="0" w:num="1">
            <w:col w:w="11140"/>
          </w:cols>
          <w:pgMar w:left="360" w:top="112" w:right="399" w:bottom="0" w:gutter="0" w:footer="0" w:header="0"/>
          <w:type w:val="continuous"/>
        </w:sectPr>
      </w:pPr>
    </w:p>
    <w:bookmarkStart w:id="4" w:name="page5"/>
    <w:bookmarkEnd w:id="4"/>
    <w:p>
      <w:pPr>
        <w:ind w:left="2660"/>
        <w:spacing w:after="0"/>
        <w:rPr>
          <w:sz w:val="20"/>
          <w:szCs w:val="20"/>
          <w:color w:val="auto"/>
        </w:rPr>
      </w:pPr>
      <w:r>
        <w:rPr>
          <w:rFonts w:ascii="Times New Roman" w:cs="Times New Roman" w:eastAsia="Times New Roman" w:hAnsi="Times New Roman"/>
          <w:sz w:val="21"/>
          <w:szCs w:val="21"/>
          <w:color w:val="auto"/>
        </w:rPr>
        <w:t>Name/Title: David Johnson, Individually</w:t>
      </w:r>
    </w:p>
    <w:p>
      <w:pPr>
        <w:spacing w:after="0" w:line="56" w:lineRule="exact"/>
        <w:rPr>
          <w:sz w:val="20"/>
          <w:szCs w:val="20"/>
          <w:color w:val="auto"/>
        </w:rPr>
      </w:pPr>
    </w:p>
    <w:p>
      <w:pPr>
        <w:ind w:left="2660"/>
        <w:spacing w:after="0"/>
        <w:tabs>
          <w:tab w:leader="none" w:pos="3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decimal"/>
      <w:start w:val="12"/>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2026-05-15T10:18:35Z</dcterms:created>
  <dcterms:modified xsi:type="dcterms:W3CDTF">2026-05-15T10:18:35Z</dcterms:modified>
</cp:coreProperties>
</file>