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SAB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Fund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22,637,108.00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22,637,108.00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22,637,108.00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share amount represents an aggregate of (i) 6,632,508 shares of common stock, par value $0.0001 per share (the "Common Stock") of SAB Biotherapeutics, Inc. (the "Issuer"), (ii) 446,000 shares of Common Stock issuable upon conversion of 4,460 shares of the Issuer's Series B Preferred Stock, par value $0.0001 per share (the "Series B Preferred Stock") convertible within 60 days of this Statement, (iii) 10,372,400 shares of Common Stock issuable upon conversion of 103,724 shares of Series B Preferred Stock underlying 103,724 Enrollment Warrants that are exercisable within 60 days of this Statement, and (iv) 5,186,200 shares of Common Stock issuable upon conversion of 51,862 shares of Series B Preferred Stock underlying 51,862 Data Release Warrants that are exercisable within 60 days of this Statement. All securities are held of record by Vivo Opportunity Fund Holdings, L.P. Vivo Opportunity, LLC is the general partner of Vivo Opportunity Fund Holdings, L.P. The Series B Preferred Stock, the Enrollment Warrants and the Data Release Warrant all contain provisions preventing these securities from being converted or exercised into shares of Common Stock, if such conversion or exercise would result in the holder or its affiliates obtaining greater than 9.99% of the Issuer's voting securities. However, the amounts reported in rows 5, 7 and 9 herein represent the number of shares of Common Stock that would be issuable upon full exercise of the Enrollment Warrants and the Data Release Warrants into Series B Preferred Stock and the full conversion of Series B Preferred Stock to shares of Common Stock, without giving effect to the blocking provisions.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22,637,108.00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22,637,108.00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22,637,108.00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share amount represents an aggregate of (i) 6,632,508 shares of Common Stock of the Issuer, (ii) 446,000 shares of Common Stock issuable upon conversion of 4,460 shares of the Issuer's Series B Preferred Stock, convertible within 60 days of this Statement, (iii) 10,372,400 shares of Common Stock issuable upon conversion of 103,724 shares of Series B Preferred Stock underlying 103,724 Enrollment Warrants that are exercisable within 60 days of this Statement, and (iv) 5,186,200 shares of Common Stock issuable upon conversion of 51,862 shares of Series B Preferred Stock underlying 51,862 Data Release Warrants that are exercisable within 60 days of this Statement. All securities are held of record by Vivo Opportunity Fund Holdings, L.P. Vivo Opportunity, LLC is the general partner of Vivo Opportunity Fund Holdings, L.P. The Series B Preferred Stock, the Enrollment Warrants and the Data Release Warrant all contain provisions preventing these securities from being converted or exercised into shares of Common Stock, if such conversion or exercise would result in the holder or its affiliates obtaining greater than 9.99% of the Issuer's voting securities. However, the amounts reported in rows 5, 7 and 9 herein represent the number of shares of Common Stock that would be issuable upon full exercise of the Enrollment Warrants and the Data Release Warrants into Series B Preferred Stock and the full conversion of Series B Preferred Stock to shares of Common Stock, without giving effect to the blocking provisions.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Cayman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2,286,301.00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2,286,301.00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2,286,301.00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share amount represents an aggregate of (i) 667,401 shares of Common Stock of the Issuer, (ii) 47,500 shares of Common Stock issuable upon conversion of 475 shares of the Issuer's Series B Preferred Stock, convertible within 60 days of this Statement, (iii) 1,047,600 shares of Common Stock issuable upon conversion of 10,476 shares of Series B Preferred Stock underlying 10,476 Enrollment Warrants that are exercisable within 60 days of this Statement, and (iv) 523,800 shares of Common Stock issuable upon conversion of 5,238 shares of Series B Preferred Stock underlying 5,238 Data Release Warrants that are exercisable within 60 days of this Statement. All securities are held of record by Vivo Opportunity Cayman Fund, L.P. Vivo Opportunity Cayman, LLC is the general partner of Vivo Opportunity Cayman Fund, L.P. The Series B Preferred Stock, the Enrollment Warrants and the Data Release Warrant all contain provisions preventing these securities from being converted or exercised into shares of Common Stock, if such conversion or exercise would result in the holder or its affiliates obtaining greater than 9.99% of the Issuer's voting securities. However, the amounts reported in rows 5, 7 and 9 herein represent the number of shares of Common Stock that would be issuable upon full exercise of the Enrollment Warrants and the Data Release Warrants into Series B Preferred Stock and the full conversion of Series B Preferred Stock to shares of Common Stock, without giving effect to the blocking provisions.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Cayman,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2,286,301.00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2,286,301.00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2,286,301.00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share amount represents an aggregate of (i) 667,401 shares of Common Stock of the Issuer, (ii) 47,500 shares of Common Stock issuable upon conversion of 475 shares of the Issuer's Series B Preferred Stock, convertible within 60 days of this Statement, (iii) 1,047,600 shares of Common Stock issuable upon conversion of 10,476 shares of Series B Preferred Stock underlying 10,476 Enrollment Warrants that are exercisable within 60 days of this Statement, and (iv) 523,800 shares of Common Stock issuable upon conversion of 5,238 shares of Series B Preferred Stock underlying 5,238 Data Release Warrants that are exercisable within 60 days of this Statement. All securities are held of record by Vivo Opportunity Cayman Fund, L.P. Vivo Opportunity Cayman, LLC is the general partner of Vivo Opportunity Cayman Fund, L.P. The Series B Preferred Stock, the Enrollment Warrants and the Data Release Warrant all contain provisions preventing these securities from being converted or exercised into shares of Common Stock, if such conversion or exercise would result in the holder or its affiliates obtaining greater than 9.99% of the Issuer's voting securities. However, the amounts reported in rows 5, 7 and 9 herein represent the number of shares of Common Stock that would be issuable upon full exercise of the Enrollment Warrants and the Data Release Warrants into Series B Preferred Stock and the full conversion of Series B Preferred Stock to shares of Common Stock, without giving effect to the blocking provisions.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w:t>
            </w:r>
          </w:p>
        </w:tc>
        <w:tc>
          <w:tcPr>
            <w:tcW w:w="9037" w:type="dxa"/>
            <w:tcBorders/>
            <w:vAlign w:val="center"/>
          </w:tcPr>
          <w:p>
            <w:pPr>
              <w:pStyle w:val="TableContents"/>
              <w:bidi w:val="0"/>
              <w:spacing w:before="0" w:after="283"/>
              <w:jc w:val="left"/>
              <w:rPr/>
            </w:pPr>
            <w:r>
              <w:rPr/>
              <w:t> </w:t>
            </w:r>
          </w:p>
        </w:tc>
      </w:tr>
      <w:tr>
        <w:trPr/>
        <w:tc>
          <w:tcPr>
            <w:tcW w:w="1168"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jc w:val="left"/>
              <w:rPr/>
            </w:pPr>
            <w:r>
              <w:rPr/>
              <w:t xml:space="preserve">Name of issuer: </w:t>
            </w:r>
          </w:p>
          <w:p>
            <w:pPr>
              <w:pStyle w:val="TableContents"/>
              <w:bidi w:val="0"/>
              <w:spacing w:before="0" w:after="0"/>
              <w:jc w:val="left"/>
              <w:rPr/>
            </w:pPr>
            <w:r>
              <w:rPr/>
              <w:t>SAB Biotherapeutics, Inc.</w:t>
            </w:r>
          </w:p>
        </w:tc>
      </w:tr>
      <w:tr>
        <w:trPr/>
        <w:tc>
          <w:tcPr>
            <w:tcW w:w="1168"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W 41st St, Suite 401, Miami Beach, FL 33140</w:t>
            </w:r>
          </w:p>
        </w:tc>
      </w:tr>
      <w:tr>
        <w:trPr/>
        <w:tc>
          <w:tcPr>
            <w:tcW w:w="1168" w:type="dxa"/>
            <w:tcBorders/>
            <w:vAlign w:val="center"/>
          </w:tcPr>
          <w:p>
            <w:pPr>
              <w:pStyle w:val="TableContents"/>
              <w:bidi w:val="0"/>
              <w:spacing w:before="0" w:after="283"/>
              <w:jc w:val="left"/>
              <w:rPr/>
            </w:pPr>
            <w:r>
              <w:rPr/>
              <w:t>Item 2.</w:t>
            </w:r>
          </w:p>
        </w:tc>
        <w:tc>
          <w:tcPr>
            <w:tcW w:w="9037" w:type="dxa"/>
            <w:tcBorders/>
            <w:vAlign w:val="center"/>
          </w:tcPr>
          <w:p>
            <w:pPr>
              <w:pStyle w:val="TableContents"/>
              <w:bidi w:val="0"/>
              <w:spacing w:before="0" w:after="283"/>
              <w:jc w:val="left"/>
              <w:rPr/>
            </w:pPr>
            <w:r>
              <w:rPr/>
              <w:t> </w:t>
            </w:r>
          </w:p>
        </w:tc>
      </w:tr>
      <w:tr>
        <w:trPr/>
        <w:tc>
          <w:tcPr>
            <w:tcW w:w="1168"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Vivo Opportunity Fund Holdings, L.P. and its General Partner Vivo Opportunity, LLC Vivo Opportunity Cayman Fund, L.P. and its General Partner Vivo Opportunity Cayman, LLC</w:t>
            </w:r>
          </w:p>
        </w:tc>
      </w:tr>
      <w:tr>
        <w:trPr/>
        <w:tc>
          <w:tcPr>
            <w:tcW w:w="1168"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192 Lytton Avenue, Palo Alto, CA 94301</w:t>
            </w:r>
          </w:p>
        </w:tc>
      </w:tr>
      <w:tr>
        <w:trPr/>
        <w:tc>
          <w:tcPr>
            <w:tcW w:w="1168" w:type="dxa"/>
            <w:tcBorders/>
            <w:vAlign w:val="center"/>
          </w:tcPr>
          <w:p>
            <w:pPr>
              <w:pStyle w:val="TableContents"/>
              <w:bidi w:val="0"/>
              <w:spacing w:before="0" w:after="283"/>
              <w:jc w:val="left"/>
              <w:rPr/>
            </w:pPr>
            <w:r>
              <w:rPr/>
              <w:t>(c)</w:t>
            </w:r>
          </w:p>
        </w:tc>
        <w:tc>
          <w:tcPr>
            <w:tcW w:w="9037" w:type="dxa"/>
            <w:tcBorders/>
            <w:vAlign w:val="center"/>
          </w:tcPr>
          <w:p>
            <w:pPr>
              <w:pStyle w:val="TableContents"/>
              <w:bidi w:val="0"/>
              <w:jc w:val="left"/>
              <w:rPr/>
            </w:pPr>
            <w:r>
              <w:rPr/>
              <w:t xml:space="preserve">Citizenship: </w:t>
            </w:r>
          </w:p>
          <w:p>
            <w:pPr>
              <w:pStyle w:val="TableContents"/>
              <w:bidi w:val="0"/>
              <w:spacing w:before="0" w:after="0"/>
              <w:jc w:val="left"/>
              <w:rPr/>
            </w:pPr>
            <w:r>
              <w:rPr/>
              <w:t>Vivo Opportunity Fund Holdings, L.P. is a Delaware limited partnership. Vivo Opportunity, LLC is a Delaware limited liability company. Vivo Opportunity Cayman Fund, L.P. is a Cayman Islands limited partnership. Vivo Opportunity Cayman, LLC is a Cayman Islands limited liability company.</w:t>
            </w:r>
          </w:p>
        </w:tc>
      </w:tr>
      <w:tr>
        <w:trPr/>
        <w:tc>
          <w:tcPr>
            <w:tcW w:w="1168" w:type="dxa"/>
            <w:tcBorders/>
            <w:vAlign w:val="center"/>
          </w:tcPr>
          <w:p>
            <w:pPr>
              <w:pStyle w:val="TableContents"/>
              <w:bidi w:val="0"/>
              <w:spacing w:before="0" w:after="283"/>
              <w:jc w:val="left"/>
              <w:rPr/>
            </w:pPr>
            <w:r>
              <w:rPr/>
              <w:t>(d)</w:t>
            </w:r>
          </w:p>
        </w:tc>
        <w:tc>
          <w:tcPr>
            <w:tcW w:w="90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68" w:type="dxa"/>
            <w:tcBorders/>
            <w:vAlign w:val="center"/>
          </w:tcPr>
          <w:p>
            <w:pPr>
              <w:pStyle w:val="TableContents"/>
              <w:bidi w:val="0"/>
              <w:spacing w:before="0" w:after="283"/>
              <w:jc w:val="left"/>
              <w:rPr/>
            </w:pPr>
            <w:r>
              <w:rPr/>
              <w:t>(e)</w:t>
            </w:r>
          </w:p>
        </w:tc>
        <w:tc>
          <w:tcPr>
            <w:tcW w:w="9037" w:type="dxa"/>
            <w:tcBorders/>
            <w:vAlign w:val="center"/>
          </w:tcPr>
          <w:p>
            <w:pPr>
              <w:pStyle w:val="TableContents"/>
              <w:bidi w:val="0"/>
              <w:spacing w:before="0" w:after="283"/>
              <w:jc w:val="left"/>
              <w:rPr/>
            </w:pPr>
            <w:r>
              <w:rPr/>
              <w:t xml:space="preserve">CUSIP No.: </w:t>
            </w:r>
          </w:p>
        </w:tc>
      </w:tr>
      <w:tr>
        <w:trPr/>
        <w:tc>
          <w:tcPr>
            <w:tcW w:w="1168" w:type="dxa"/>
            <w:tcBorders/>
            <w:vAlign w:val="center"/>
          </w:tcPr>
          <w:p>
            <w:pPr>
              <w:pStyle w:val="TableContents"/>
              <w:bidi w:val="0"/>
              <w:spacing w:before="0" w:after="283"/>
              <w:jc w:val="left"/>
              <w:rPr/>
            </w:pPr>
            <w:r>
              <w:rPr/>
              <w:t>Item 4.</w:t>
            </w:r>
          </w:p>
        </w:tc>
        <w:tc>
          <w:tcPr>
            <w:tcW w:w="9037" w:type="dxa"/>
            <w:tcBorders/>
            <w:vAlign w:val="center"/>
          </w:tcPr>
          <w:p>
            <w:pPr>
              <w:pStyle w:val="TableContents"/>
              <w:bidi w:val="0"/>
              <w:spacing w:before="0" w:after="283"/>
              <w:jc w:val="left"/>
              <w:rPr/>
            </w:pPr>
            <w:r>
              <w:rPr/>
              <w:t>Ownership</w:t>
            </w:r>
          </w:p>
        </w:tc>
      </w:tr>
      <w:tr>
        <w:trPr/>
        <w:tc>
          <w:tcPr>
            <w:tcW w:w="1168" w:type="dxa"/>
            <w:tcBorders/>
            <w:vAlign w:val="center"/>
          </w:tcPr>
          <w:p>
            <w:pPr>
              <w:pStyle w:val="TableContents"/>
              <w:bidi w:val="0"/>
              <w:spacing w:before="0" w:after="283"/>
              <w:jc w:val="left"/>
              <w:rPr/>
            </w:pPr>
            <w:r>
              <w:rPr/>
              <w:t>(a)</w:t>
            </w:r>
          </w:p>
        </w:tc>
        <w:tc>
          <w:tcPr>
            <w:tcW w:w="90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Vivo Opportunity, LLC may be deemed to beneficially own an aggregate of 22,637,108 shares of the Issuer's securities, consisting of (i) 6,632,508 shares of Common Stock of the Issuer, (ii) 446,000 shares of Common Stock issuable upon conversion of 4,460 shares of the Issuer's Series B Preferred Stock, convertible within 60 days of this Statement, (iii) 10,372,400 shares of Common Stock issuable upon conversion of 103,724 shares of Series B Preferred Stock underlying 103,724 Enrollment Warrants that are exercisable within 60 days of this Statement, and (iv) 5,186,200 shares of Common Stock issuable upon conversion of 51,862 shares of Series B Preferred Stock underlying 51,862 Data Release Warrants that are exercisable within 60 days of this Statement. The securities are held of record by Vivo Opportunity Fund Holdings, L.P. Vivo Opportunity, LLC is the general partner of Vivo Opportunity Fund Holdings, L.P. Vivo Opportunity Cayman, LLC may be deemed to beneficially own an aggregate of 2,286,301 shares of the Issuer's securities, consisting of (i) 667,401 shares of Common Stock of the Issuer, (ii) 47,500 shares of Common Stock issuable upon conversion of 475 shares of the Issuer's Series B Preferred Stock, convertible within 60 days of this Statement, (iii) 1,047,600 shares of Common Stock issuable upon conversion of 10,476 shares of Series B Preferred Stock underlying 10,476 Enrollment Warrants that are exercisable within 60 days of this Statement, and (iv) 523,800 shares of Common Stock issuable upon conversion of 5,238 shares of Series B Preferred Stock underlying 5,238 Data Release Warrants that are exercisable within 60 days of this Statement. These securities are held of record by Vivo Opportunity Cayman Fund, L.P. Vivo Opportunity Cayman, LLC is the general partner of Vivo Opportunity Cayman Fund, L.P. The Series B Preferred Stock, the Enrollment Warrants and the Data Release Warrant all contain provisions preventing these securities from being converted or exercised into shares of Common Stock, if such conversion or exercise would result in the holder or its affiliates obtaining greater than 9.99% of the Issuer's voting securities. However, the amounts reported in this Item 4 herein represent the number of shares of Common Stock that would be issuable upon full exercise of the Enrollment Warrants and the Data Release Warrants into Series B Preferred Stock and the full conversion of Series B Preferred Stock to shares of Common Stock, without giving effect to the blocking provisions.</w:t>
            </w:r>
          </w:p>
        </w:tc>
      </w:tr>
      <w:tr>
        <w:trPr/>
        <w:tc>
          <w:tcPr>
            <w:tcW w:w="1168" w:type="dxa"/>
            <w:tcBorders/>
            <w:vAlign w:val="center"/>
          </w:tcPr>
          <w:p>
            <w:pPr>
              <w:pStyle w:val="TableContents"/>
              <w:bidi w:val="0"/>
              <w:spacing w:before="0" w:after="283"/>
              <w:jc w:val="left"/>
              <w:rPr/>
            </w:pPr>
            <w:r>
              <w:rPr/>
              <w:t>(b)</w:t>
            </w:r>
          </w:p>
        </w:tc>
        <w:tc>
          <w:tcPr>
            <w:tcW w:w="90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Vivo Opportunity Fund Holdings, L.P.: 9.99% Vivo Opportunity, LLC: 9.99% Vivo Opportunity Cayman Fund, L.P.: 9.99% Vivo Opportunity Cayman, LLC: 9.99%  % </w:t>
            </w:r>
          </w:p>
        </w:tc>
      </w:tr>
      <w:tr>
        <w:trPr/>
        <w:tc>
          <w:tcPr>
            <w:tcW w:w="1168" w:type="dxa"/>
            <w:tcBorders/>
            <w:vAlign w:val="center"/>
          </w:tcPr>
          <w:p>
            <w:pPr>
              <w:pStyle w:val="TableContents"/>
              <w:bidi w:val="0"/>
              <w:spacing w:before="0" w:after="283"/>
              <w:jc w:val="left"/>
              <w:rPr/>
            </w:pPr>
            <w:r>
              <w:rPr/>
              <w:t>(c)</w:t>
            </w:r>
          </w:p>
        </w:tc>
        <w:tc>
          <w:tcPr>
            <w:tcW w:w="9037" w:type="dxa"/>
            <w:tcBorders/>
            <w:vAlign w:val="center"/>
          </w:tcPr>
          <w:p>
            <w:pPr>
              <w:pStyle w:val="TableContents"/>
              <w:bidi w:val="0"/>
              <w:spacing w:before="0" w:after="283"/>
              <w:jc w:val="left"/>
              <w:rPr/>
            </w:pPr>
            <w:r>
              <w:rPr/>
              <w:t xml:space="preserve">Number of shares as to which the person has: </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Vivo Opportunity Fund Holdings, L.P.: 22,637,108 shares Vivo Opportunity, LLC: 22,637,108 shares Vivo Opportunity Cayman Fund, L.P.: 2,286,301 shares Vivo Opportunity Cayman, LLC: 2,286,301 shares</w:t>
            </w:r>
          </w:p>
          <w:p>
            <w:pPr>
              <w:pStyle w:val="TableContents"/>
              <w:bidi w:val="0"/>
              <w:spacing w:before="0" w:after="0"/>
              <w:jc w:val="left"/>
              <w:rPr/>
            </w:pPr>
            <w:r>
              <w:rPr/>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Vivo Opportunity Fund Holdings, L.P.: 22,637,108 shares Vivo Opportunity, LLC: 22,637,108 shares Vivo Opportunity Cayman Fund, L.P.: 2,286,301 shares Vivo Opportunity Cayman, LLC: 2,286,301 shares</w:t>
            </w:r>
          </w:p>
          <w:p>
            <w:pPr>
              <w:pStyle w:val="TableContents"/>
              <w:bidi w:val="0"/>
              <w:spacing w:before="0" w:after="0"/>
              <w:jc w:val="left"/>
              <w:rPr/>
            </w:pPr>
            <w:r>
              <w:rPr/>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68" w:type="dxa"/>
            <w:tcBorders/>
            <w:vAlign w:val="center"/>
          </w:tcPr>
          <w:p>
            <w:pPr>
              <w:pStyle w:val="TableContents"/>
              <w:bidi w:val="0"/>
              <w:spacing w:before="0" w:after="283"/>
              <w:jc w:val="left"/>
              <w:rPr/>
            </w:pPr>
            <w:r>
              <w:rPr/>
              <w:t>Item 5.</w:t>
            </w:r>
          </w:p>
        </w:tc>
        <w:tc>
          <w:tcPr>
            <w:tcW w:w="9037" w:type="dxa"/>
            <w:tcBorders/>
            <w:vAlign w:val="center"/>
          </w:tcPr>
          <w:p>
            <w:pPr>
              <w:pStyle w:val="TableContents"/>
              <w:bidi w:val="0"/>
              <w:spacing w:before="0" w:after="283"/>
              <w:jc w:val="left"/>
              <w:rPr/>
            </w:pPr>
            <w:r>
              <w:rPr/>
              <w:t>Ownership of 5 Percent or Less of a Class.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9037" w:type="dxa"/>
            <w:tcBorders/>
            <w:vAlign w:val="center"/>
          </w:tcPr>
          <w:p>
            <w:pPr>
              <w:pStyle w:val="TableContents"/>
              <w:bidi w:val="0"/>
              <w:spacing w:before="0" w:after="283"/>
              <w:jc w:val="left"/>
              <w:rPr/>
            </w:pPr>
            <w:r>
              <w:rPr/>
              <w:t>Ownership of more than 5 Percent on Behalf of Another Person.</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Not Applicable </w:t>
            </w:r>
          </w:p>
        </w:tc>
      </w:tr>
      <w:tr>
        <w:trPr/>
        <w:tc>
          <w:tcPr>
            <w:tcW w:w="1168" w:type="dxa"/>
            <w:tcBorders/>
            <w:vAlign w:val="center"/>
          </w:tcPr>
          <w:p>
            <w:pPr>
              <w:pStyle w:val="TableContents"/>
              <w:bidi w:val="0"/>
              <w:spacing w:before="0" w:after="283"/>
              <w:jc w:val="left"/>
              <w:rPr/>
            </w:pPr>
            <w:r>
              <w:rPr/>
              <w:t>Item 7.</w:t>
            </w:r>
          </w:p>
        </w:tc>
        <w:tc>
          <w:tcPr>
            <w:tcW w:w="90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Not Applicable </w:t>
            </w:r>
          </w:p>
        </w:tc>
      </w:tr>
      <w:tr>
        <w:trPr/>
        <w:tc>
          <w:tcPr>
            <w:tcW w:w="1168" w:type="dxa"/>
            <w:tcBorders/>
            <w:vAlign w:val="center"/>
          </w:tcPr>
          <w:p>
            <w:pPr>
              <w:pStyle w:val="TableContents"/>
              <w:bidi w:val="0"/>
              <w:spacing w:before="0" w:after="283"/>
              <w:jc w:val="left"/>
              <w:rPr/>
            </w:pPr>
            <w:r>
              <w:rPr/>
              <w:t>Item 8.</w:t>
            </w:r>
          </w:p>
        </w:tc>
        <w:tc>
          <w:tcPr>
            <w:tcW w:w="9037" w:type="dxa"/>
            <w:tcBorders/>
            <w:vAlign w:val="center"/>
          </w:tcPr>
          <w:p>
            <w:pPr>
              <w:pStyle w:val="TableContents"/>
              <w:bidi w:val="0"/>
              <w:spacing w:before="0" w:after="283"/>
              <w:jc w:val="left"/>
              <w:rPr/>
            </w:pPr>
            <w:r>
              <w:rPr/>
              <w:t>Identification and Classification of Members of the Group.</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Not Applicable </w:t>
            </w:r>
          </w:p>
        </w:tc>
      </w:tr>
      <w:tr>
        <w:trPr/>
        <w:tc>
          <w:tcPr>
            <w:tcW w:w="1168" w:type="dxa"/>
            <w:tcBorders/>
            <w:vAlign w:val="center"/>
          </w:tcPr>
          <w:p>
            <w:pPr>
              <w:pStyle w:val="TableContents"/>
              <w:bidi w:val="0"/>
              <w:spacing w:before="0" w:after="283"/>
              <w:jc w:val="left"/>
              <w:rPr/>
            </w:pPr>
            <w:r>
              <w:rPr/>
              <w:t>Item 9.</w:t>
            </w:r>
          </w:p>
        </w:tc>
        <w:tc>
          <w:tcPr>
            <w:tcW w:w="9037" w:type="dxa"/>
            <w:tcBorders/>
            <w:vAlign w:val="center"/>
          </w:tcPr>
          <w:p>
            <w:pPr>
              <w:pStyle w:val="TableContents"/>
              <w:bidi w:val="0"/>
              <w:spacing w:before="0" w:after="283"/>
              <w:jc w:val="left"/>
              <w:rPr/>
            </w:pPr>
            <w:r>
              <w:rPr/>
              <w:t>Notice of Dissolution of Group.</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Vivo Opportunity Fund Holdings, 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Vivo Opportunity, LLC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Vivo Opportunity Cayman Fund,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Kevin Dai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Kevin Dai/Managing Member of Vivo Opportunity Cayman, LLC,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Vivo Opportunity Cayman,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2468</Words>
  <Characters>13174</Characters>
  <CharactersWithSpaces>15544</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