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000" w:right="2500" w:hanging="3979"/>
        <w:spacing w:after="0" w:line="395" w:lineRule="auto"/>
        <w:tabs>
          <w:tab w:leader="none" w:pos="48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2900" w:right="2500" w:hanging="2879"/>
        <w:spacing w:after="0" w:line="405" w:lineRule="auto"/>
        <w:tabs>
          <w:tab w:leader="none" w:pos="471"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___________________ to ___________________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001-39871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SAB BIOTHERAPEUTICS, INC.</w:t>
      </w:r>
    </w:p>
    <w:p>
      <w:pPr>
        <w:sectPr>
          <w:pgSz w:w="11900" w:h="16838" w:orient="portrait"/>
          <w:cols w:equalWidth="0" w:num="1">
            <w:col w:w="11240"/>
          </w:cols>
          <w:pgMar w:left="320" w:top="1046"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85-3899721</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4" w:lineRule="exact"/>
        <w:rPr>
          <w:sz w:val="24"/>
          <w:szCs w:val="24"/>
          <w:color w:val="auto"/>
        </w:rPr>
      </w:pPr>
    </w:p>
    <w:p>
      <w:pPr>
        <w:sectPr>
          <w:pgSz w:w="11900" w:h="16838" w:orient="portrait"/>
          <w:cols w:equalWidth="0" w:num="2">
            <w:col w:w="7480" w:space="460"/>
            <w:col w:w="3300"/>
          </w:cols>
          <w:pgMar w:left="320" w:top="1046"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450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b w:val="1"/>
                <w:bCs w:val="1"/>
                <w:color w:val="auto"/>
                <w:w w:val="99"/>
              </w:rPr>
              <w:t>777 W 41</w:t>
            </w:r>
            <w:r>
              <w:rPr>
                <w:rFonts w:ascii="Times New Roman" w:cs="Times New Roman" w:eastAsia="Times New Roman" w:hAnsi="Times New Roman"/>
                <w:sz w:val="21"/>
                <w:szCs w:val="21"/>
                <w:b w:val="1"/>
                <w:bCs w:val="1"/>
                <w:color w:val="auto"/>
                <w:w w:val="99"/>
                <w:vertAlign w:val="superscript"/>
              </w:rPr>
              <w:t>st</w:t>
            </w:r>
            <w:r>
              <w:rPr>
                <w:rFonts w:ascii="Times New Roman" w:cs="Times New Roman" w:eastAsia="Times New Roman" w:hAnsi="Times New Roman"/>
                <w:sz w:val="16"/>
                <w:szCs w:val="16"/>
                <w:b w:val="1"/>
                <w:bCs w:val="1"/>
                <w:color w:val="auto"/>
                <w:w w:val="99"/>
              </w:rPr>
              <w:t xml:space="preserve"> St, Suite 401</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b w:val="1"/>
                <w:bCs w:val="1"/>
                <w:color w:val="auto"/>
              </w:rPr>
              <w:t>Miami Beach, Florida</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jc w:val="right"/>
              <w:ind w:right="2544"/>
              <w:spacing w:after="0"/>
              <w:rPr>
                <w:sz w:val="20"/>
                <w:szCs w:val="20"/>
                <w:color w:val="auto"/>
              </w:rPr>
            </w:pPr>
            <w:r>
              <w:rPr>
                <w:rFonts w:ascii="Times New Roman" w:cs="Times New Roman" w:eastAsia="Times New Roman" w:hAnsi="Times New Roman"/>
                <w:sz w:val="16"/>
                <w:szCs w:val="16"/>
                <w:b w:val="1"/>
                <w:bCs w:val="1"/>
                <w:color w:val="auto"/>
              </w:rPr>
              <w:t>33140</w:t>
            </w:r>
          </w:p>
        </w:tc>
        <w:tc>
          <w:tcPr>
            <w:tcW w:w="0" w:type="dxa"/>
            <w:vAlign w:val="bottom"/>
          </w:tcPr>
          <w:p>
            <w:pPr>
              <w:spacing w:after="0"/>
              <w:rPr>
                <w:sz w:val="1"/>
                <w:szCs w:val="1"/>
                <w:color w:val="auto"/>
              </w:rPr>
            </w:pPr>
          </w:p>
        </w:tc>
      </w:tr>
      <w:tr>
        <w:trPr>
          <w:trHeight w:val="166"/>
        </w:trPr>
        <w:tc>
          <w:tcPr>
            <w:tcW w:w="4500" w:type="dxa"/>
            <w:vAlign w:val="bottom"/>
            <w:gridSpan w:val="3"/>
          </w:tcPr>
          <w:p>
            <w:pPr>
              <w:jc w:val="center"/>
              <w:ind w:left="1042"/>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10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67"/>
        </w:trPr>
        <w:tc>
          <w:tcPr>
            <w:tcW w:w="11240" w:type="dxa"/>
            <w:vAlign w:val="bottom"/>
            <w:gridSpan w:val="7"/>
          </w:tcPr>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(605) 679-6980</w:t>
            </w:r>
          </w:p>
        </w:tc>
        <w:tc>
          <w:tcPr>
            <w:tcW w:w="0" w:type="dxa"/>
            <w:vAlign w:val="bottom"/>
          </w:tcPr>
          <w:p>
            <w:pPr>
              <w:spacing w:after="0"/>
              <w:rPr>
                <w:sz w:val="1"/>
                <w:szCs w:val="1"/>
                <w:color w:val="auto"/>
              </w:rPr>
            </w:pPr>
          </w:p>
        </w:tc>
      </w:tr>
      <w:tr>
        <w:trPr>
          <w:trHeight w:val="128"/>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4500" w:type="dxa"/>
            <w:vAlign w:val="bottom"/>
            <w:gridSpan w:val="3"/>
            <w:vMerge w:val="continue"/>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0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vMerge w:val="restart"/>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24"/>
              <w:spacing w:after="0" w:line="182" w:lineRule="exact"/>
              <w:rPr>
                <w:sz w:val="20"/>
                <w:szCs w:val="20"/>
                <w:color w:val="auto"/>
              </w:rPr>
            </w:pPr>
            <w:r>
              <w:rPr>
                <w:rFonts w:ascii="Times New Roman" w:cs="Times New Roman" w:eastAsia="Times New Roman" w:hAnsi="Times New Roman"/>
                <w:sz w:val="16"/>
                <w:szCs w:val="16"/>
                <w:color w:val="auto"/>
                <w:w w:val="99"/>
              </w:rPr>
              <w:t>SABS</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500" w:type="dxa"/>
            <w:vAlign w:val="bottom"/>
            <w:tcBorders>
              <w:top w:val="single" w:sz="8" w:color="auto"/>
            </w:tcBorders>
          </w:tcPr>
          <w:p>
            <w:pPr>
              <w:jc w:val="center"/>
              <w:ind w:right="464"/>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Warrants, each exercisable for one share of Common Stock</w:t>
            </w:r>
          </w:p>
        </w:tc>
        <w:tc>
          <w:tcPr>
            <w:tcW w:w="224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color w:val="auto"/>
              </w:rPr>
              <w:t>SABSW</w:t>
            </w:r>
          </w:p>
        </w:tc>
        <w:tc>
          <w:tcPr>
            <w:tcW w:w="4500" w:type="dxa"/>
            <w:vAlign w:val="bottom"/>
          </w:tcPr>
          <w:p>
            <w:pPr>
              <w:jc w:val="center"/>
              <w:ind w:right="464"/>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4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6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2026, the registrant had 76,464,094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20,519,724</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10,502,680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86,871,857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86,089,779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1,555,061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946,781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3,835,400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3,513,384</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112,782,042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101,052,624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issuance costs</w:t>
            </w:r>
          </w:p>
        </w:tc>
        <w:tc>
          <w:tcPr>
            <w:tcW w:w="2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150,145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Long-term prepaid assets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5,279,709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5,309,345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investments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110,235,540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46,892,882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2,885,331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2,603,059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lease right-of-use assets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3,474,306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3,496,012</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13,813,570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13,305,902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248,470,498</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172,809,969</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3,544,958</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3,145,805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5,386,530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6,583,996</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763,705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797,402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liabilities, current portion</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153,967</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9,852,151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10,681,170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2,170,887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1,877,360</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3,081,573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3,121,952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6,117,586</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5,635,112</w:t>
            </w:r>
          </w:p>
        </w:tc>
        <w:tc>
          <w:tcPr>
            <w:tcW w:w="100" w:type="dxa"/>
            <w:vAlign w:val="bottom"/>
            <w:tcBorders>
              <w:bottom w:val="single" w:sz="8" w:color="CFF0FC"/>
            </w:tcBorders>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21,222,197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21,315,594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Series A Preferred stock; $0.0001 par value; 10,000,000 shares authorized, 28,380 shares issued and outstanding</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 March 31, 2026 and December 31, 2025, respectively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r>
      <w:tr>
        <w:trPr>
          <w:trHeight w:val="192"/>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Series B Preferred stock; $0.0001 par value; 2,928,570 shares authorized, 587,879 shares issued and outstanding</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at March 31, 2026 and 638,558 shares issued and outstanding as of December 31, 2025</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FF0FC"/>
          </w:tcPr>
          <w:p>
            <w:pPr>
              <w:spacing w:after="0"/>
              <w:rPr>
                <w:sz w:val="18"/>
                <w:szCs w:val="18"/>
                <w:color w:val="auto"/>
              </w:rPr>
            </w:pPr>
          </w:p>
        </w:tc>
      </w:tr>
      <w:tr>
        <w:trPr>
          <w:trHeight w:val="18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$0.0001 par value; 800,000,000 shares authorized at March 31, 2026 and December 31, 2025;</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75,799,241 and 47,664,564 shares issued at March 31, 2026 and December 31, 2025, respectively, and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75,744,576 and 47,609,899 outstanding at March 31, 2026 and December 31, 2025, respectively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100" w:type="dxa"/>
            <w:vAlign w:val="bottom"/>
          </w:tcPr>
          <w:p>
            <w:pPr>
              <w:spacing w:after="0"/>
              <w:rPr>
                <w:sz w:val="18"/>
                <w:szCs w:val="18"/>
                <w:color w:val="auto"/>
              </w:rPr>
            </w:pPr>
          </w:p>
        </w:tc>
      </w:tr>
      <w:tr>
        <w:trPr>
          <w:trHeight w:val="205"/>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Treasury stock, at cost; 54,665 shares held at March 31, 2026 and December 31, 2025, respectively</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(5,521,246)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(5,521,246)</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362,748,721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267,719,445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(222,764)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186,510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(129,764,052)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(110,895,167)</w:t>
            </w: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227,248,301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151,494,375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248,470,498</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172,809,969</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-3573780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-2129155</wp:posOffset>
            </wp:positionV>
            <wp:extent cx="939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-2129155</wp:posOffset>
            </wp:positionV>
            <wp:extent cx="939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31" w:lineRule="exact"/>
        <w:rPr>
          <w:sz w:val="20"/>
          <w:szCs w:val="20"/>
          <w:color w:val="auto"/>
        </w:rPr>
      </w:pPr>
    </w:p>
    <w:p>
      <w:pPr>
        <w:ind w:right="5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Operations and Comprehensive Loss </w:t>
      </w:r>
      <w:r>
        <w:rPr>
          <w:rFonts w:ascii="Times New Roman" w:cs="Times New Roman" w:eastAsia="Times New Roman" w:hAnsi="Times New Roman"/>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75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13,397,977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7,657,321</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6,599,759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3,114,781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19,997,736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10,772,102</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(19,997,736)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(10,772,102)</w:t>
            </w: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fair value of warrant liabilities</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(482,474)</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5,035,769</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(62,745)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(69,565)</w:t>
            </w: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1,047,197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62,498</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626,873</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546,627</w:t>
            </w:r>
          </w:p>
        </w:tc>
        <w:tc>
          <w:tcPr>
            <w:tcW w:w="100" w:type="dxa"/>
            <w:vAlign w:val="bottom"/>
            <w:tcBorders>
              <w:bottom w:val="single" w:sz="8" w:color="CFF0FC"/>
            </w:tcBorders>
          </w:tcPr>
          <w:p>
            <w:pPr>
              <w:spacing w:after="0"/>
              <w:rPr>
                <w:sz w:val="17"/>
                <w:szCs w:val="17"/>
                <w:color w:val="auto"/>
              </w:rPr>
            </w:pPr>
          </w:p>
        </w:tc>
      </w:tr>
      <w:tr>
        <w:trPr>
          <w:trHeight w:val="19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1,128,851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5,575,329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(18,868,885)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(5,196,773)</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 change in fair value of available-for-sale securities, net of reclassification adjustment and tax</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(546,791)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(975)</w:t>
            </w:r>
          </w:p>
        </w:tc>
      </w:tr>
      <w:tr>
        <w:trPr>
          <w:trHeight w:val="203"/>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137,517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loss</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(19,278,159)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(5,172,956)</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per common share attributable to the Company’s shareholders</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loss per common share</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(0.56)</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 basic and diluted</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53,558,639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9,291,641</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-2150745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-1246505</wp:posOffset>
            </wp:positionV>
            <wp:extent cx="93980" cy="170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-1246505</wp:posOffset>
            </wp:positionV>
            <wp:extent cx="93980" cy="170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560" w:type="dxa"/>
            <w:vAlign w:val="bottom"/>
          </w:tcPr>
          <w:p>
            <w:pPr>
              <w:spacing w:after="0"/>
              <w:rPr>
                <w:sz w:val="10"/>
                <w:szCs w:val="10"/>
                <w:color w:val="auto"/>
              </w:rPr>
            </w:pPr>
          </w:p>
        </w:tc>
        <w:tc>
          <w:tcPr>
            <w:tcW w:w="1400" w:type="dxa"/>
            <w:vAlign w:val="bottom"/>
            <w:gridSpan w:val="5"/>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vMerge w:val="continue"/>
          </w:tcPr>
          <w:p>
            <w:pPr>
              <w:spacing w:after="0"/>
              <w:rPr>
                <w:sz w:val="10"/>
                <w:szCs w:val="10"/>
                <w:color w:val="auto"/>
              </w:rPr>
            </w:pPr>
          </w:p>
        </w:tc>
        <w:tc>
          <w:tcPr>
            <w:tcW w:w="820" w:type="dxa"/>
            <w:vAlign w:val="bottom"/>
            <w:gridSpan w:val="4"/>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120" w:type="dxa"/>
            <w:vAlign w:val="bottom"/>
            <w:vMerge w:val="continue"/>
          </w:tcPr>
          <w:p>
            <w:pPr>
              <w:spacing w:after="0"/>
              <w:rPr>
                <w:sz w:val="10"/>
                <w:szCs w:val="10"/>
                <w:color w:val="auto"/>
              </w:rPr>
            </w:pPr>
          </w:p>
        </w:tc>
        <w:tc>
          <w:tcPr>
            <w:tcW w:w="5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92"/>
              </w:rPr>
              <w:t>Preferred</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8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Additiona</w:t>
            </w: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w:t>
            </w:r>
          </w:p>
        </w:tc>
        <w:tc>
          <w:tcPr>
            <w:tcW w:w="2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8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nt</w:t>
            </w:r>
          </w:p>
        </w:tc>
        <w:tc>
          <w:tcPr>
            <w:tcW w:w="22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nt</w:t>
            </w:r>
          </w:p>
        </w:tc>
        <w:tc>
          <w:tcPr>
            <w:tcW w:w="280" w:type="dxa"/>
            <w:vAlign w:val="bottom"/>
          </w:tcPr>
          <w:p>
            <w:pPr>
              <w:spacing w:after="0"/>
              <w:rPr>
                <w:sz w:val="15"/>
                <w:szCs w:val="15"/>
                <w:color w:val="auto"/>
              </w:rPr>
            </w:pPr>
          </w:p>
        </w:tc>
        <w:tc>
          <w:tcPr>
            <w:tcW w:w="6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6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47,664,564</w:t>
            </w:r>
          </w:p>
        </w:tc>
        <w:tc>
          <w:tcPr>
            <w:tcW w:w="32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4,76</w:t>
            </w:r>
          </w:p>
        </w:tc>
        <w:tc>
          <w:tcPr>
            <w:tcW w:w="72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638,5</w:t>
            </w:r>
          </w:p>
        </w:tc>
        <w:tc>
          <w:tcPr>
            <w:tcW w:w="1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14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28,38</w:t>
            </w:r>
          </w:p>
        </w:tc>
        <w:tc>
          <w:tcPr>
            <w:tcW w:w="3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267,719,</w:t>
            </w: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(54,66</w:t>
            </w:r>
          </w:p>
        </w:tc>
        <w:tc>
          <w:tcPr>
            <w:tcW w:w="12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(5,521,</w:t>
            </w:r>
          </w:p>
        </w:tc>
        <w:tc>
          <w:tcPr>
            <w:tcW w:w="2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(110,895,</w:t>
            </w:r>
          </w:p>
        </w:tc>
        <w:tc>
          <w:tcPr>
            <w:tcW w:w="140" w:type="dxa"/>
            <w:vAlign w:val="bottom"/>
            <w:shd w:val="clear" w:color="auto" w:fill="CFF0FC"/>
          </w:tcPr>
          <w:p>
            <w:pPr>
              <w:spacing w:after="0"/>
              <w:rPr>
                <w:sz w:val="10"/>
                <w:szCs w:val="10"/>
                <w:color w:val="auto"/>
              </w:rPr>
            </w:pPr>
          </w:p>
        </w:tc>
        <w:tc>
          <w:tcPr>
            <w:tcW w:w="16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186,510</w:t>
            </w:r>
          </w:p>
        </w:tc>
        <w:tc>
          <w:tcPr>
            <w:tcW w:w="140" w:type="dxa"/>
            <w:vAlign w:val="bottom"/>
            <w:shd w:val="clear" w:color="auto" w:fill="CFF0FC"/>
          </w:tcPr>
          <w:p>
            <w:pPr>
              <w:spacing w:after="0"/>
              <w:rPr>
                <w:sz w:val="10"/>
                <w:szCs w:val="10"/>
                <w:color w:val="auto"/>
              </w:rPr>
            </w:pP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151,494,37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780" w:type="dxa"/>
            <w:vAlign w:val="bottom"/>
            <w:vMerge w:val="continue"/>
            <w:shd w:val="clear" w:color="auto" w:fill="CFF0FC"/>
          </w:tcPr>
          <w:p>
            <w:pPr>
              <w:spacing w:after="0"/>
              <w:rPr>
                <w:sz w:val="18"/>
                <w:szCs w:val="18"/>
                <w:color w:val="auto"/>
              </w:rPr>
            </w:pPr>
          </w:p>
        </w:tc>
        <w:tc>
          <w:tcPr>
            <w:tcW w:w="320" w:type="dxa"/>
            <w:vAlign w:val="bottom"/>
            <w:gridSpan w:val="3"/>
            <w:vMerge w:val="continue"/>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c>
          <w:tcPr>
            <w:tcW w:w="100" w:type="dxa"/>
            <w:vAlign w:val="bottom"/>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340" w:type="dxa"/>
            <w:vAlign w:val="bottom"/>
            <w:gridSpan w:val="3"/>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445</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gridSpan w:val="2"/>
            <w:vMerge w:val="continue"/>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246)</w:t>
            </w:r>
          </w:p>
        </w:tc>
        <w:tc>
          <w:tcPr>
            <w:tcW w:w="120" w:type="dxa"/>
            <w:vAlign w:val="bottom"/>
            <w:vMerge w:val="continue"/>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167)</w:t>
            </w:r>
          </w:p>
        </w:tc>
        <w:tc>
          <w:tcPr>
            <w:tcW w:w="16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gridSpan w:val="2"/>
            <w:vMerge w:val="continue"/>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56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Stock-based</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vMerge w:val="restart"/>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tcPr>
          <w:p>
            <w:pPr>
              <w:spacing w:after="0"/>
              <w:rPr>
                <w:sz w:val="9"/>
                <w:szCs w:val="9"/>
                <w:color w:val="auto"/>
              </w:rPr>
            </w:pPr>
          </w:p>
        </w:tc>
        <w:tc>
          <w:tcPr>
            <w:tcW w:w="6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5,459,91</w:t>
            </w:r>
          </w:p>
        </w:tc>
        <w:tc>
          <w:tcPr>
            <w:tcW w:w="22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vMerge w:val="restart"/>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5,459,911</w:t>
            </w: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for exercise of</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39,083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113,112</w:t>
            </w:r>
          </w:p>
        </w:tc>
        <w:tc>
          <w:tcPr>
            <w:tcW w:w="22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113,116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pursuant to</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Payment of taxes</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withheld on issuance</w:t>
            </w: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of restricted stock</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(4,571)</w:t>
            </w: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(4,571)</w:t>
            </w: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units</w:t>
            </w: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Series</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 Preferred Stock into</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6,767,900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(670)</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Conversion of</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Enrollment Warrants</w:t>
            </w: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2,974,99</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into Series B Preferred</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and prefunded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warrants under the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March 2026 Public</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79,248,6</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Offering, net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19,324,677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79,250,629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issuance costs</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under the March</w:t>
            </w: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2026 Public Offering</w:t>
            </w: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7,237,80</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Underwriters Option,</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2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7,238,000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of issuance costs</w:t>
            </w: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(18,868,8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(18,868,88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26"/>
        </w:trPr>
        <w:tc>
          <w:tcPr>
            <w:tcW w:w="1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137,517</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137,517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translation</w:t>
            </w: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available-for-sale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securities, net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(546,791)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(546,791)</w:t>
            </w:r>
          </w:p>
        </w:tc>
        <w:tc>
          <w:tcPr>
            <w:tcW w:w="0" w:type="dxa"/>
            <w:vAlign w:val="bottom"/>
          </w:tcPr>
          <w:p>
            <w:pPr>
              <w:spacing w:after="0"/>
              <w:rPr>
                <w:sz w:val="1"/>
                <w:szCs w:val="1"/>
                <w:color w:val="auto"/>
              </w:rPr>
            </w:pPr>
          </w:p>
        </w:tc>
      </w:tr>
      <w:tr>
        <w:trPr>
          <w:trHeight w:val="158"/>
        </w:trPr>
        <w:tc>
          <w:tcPr>
            <w:tcW w:w="15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adjustment</w:t>
            </w: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56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March 31,</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75,799,241</w:t>
            </w:r>
          </w:p>
        </w:tc>
        <w:tc>
          <w:tcPr>
            <w:tcW w:w="32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7,58</w:t>
            </w:r>
          </w:p>
        </w:tc>
        <w:tc>
          <w:tcPr>
            <w:tcW w:w="72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587,8</w:t>
            </w:r>
          </w:p>
        </w:tc>
        <w:tc>
          <w:tcPr>
            <w:tcW w:w="1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4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28,38</w:t>
            </w:r>
          </w:p>
        </w:tc>
        <w:tc>
          <w:tcPr>
            <w:tcW w:w="3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362,748,</w:t>
            </w:r>
          </w:p>
        </w:tc>
        <w:tc>
          <w:tcPr>
            <w:tcW w:w="2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(54,66</w:t>
            </w:r>
          </w:p>
        </w:tc>
        <w:tc>
          <w:tcPr>
            <w:tcW w:w="12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(5,521,</w:t>
            </w:r>
          </w:p>
        </w:tc>
        <w:tc>
          <w:tcPr>
            <w:tcW w:w="2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(129,764,</w:t>
            </w:r>
          </w:p>
        </w:tc>
        <w:tc>
          <w:tcPr>
            <w:tcW w:w="140" w:type="dxa"/>
            <w:vAlign w:val="bottom"/>
            <w:shd w:val="clear" w:color="auto" w:fill="CFF0FC"/>
          </w:tcPr>
          <w:p>
            <w:pPr>
              <w:spacing w:after="0"/>
              <w:rPr>
                <w:sz w:val="10"/>
                <w:szCs w:val="10"/>
                <w:color w:val="auto"/>
              </w:rPr>
            </w:pPr>
          </w:p>
        </w:tc>
        <w:tc>
          <w:tcPr>
            <w:tcW w:w="16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(222,764)</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227,248,30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vMerge w:val="continue"/>
            <w:shd w:val="clear" w:color="auto" w:fill="CFF0FC"/>
          </w:tcPr>
          <w:p>
            <w:pPr>
              <w:spacing w:after="0"/>
              <w:rPr>
                <w:sz w:val="16"/>
                <w:szCs w:val="16"/>
                <w:color w:val="auto"/>
              </w:rPr>
            </w:pPr>
          </w:p>
        </w:tc>
        <w:tc>
          <w:tcPr>
            <w:tcW w:w="320" w:type="dxa"/>
            <w:vAlign w:val="bottom"/>
            <w:gridSpan w:val="3"/>
            <w:vMerge w:val="continue"/>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100" w:type="dxa"/>
            <w:vAlign w:val="bottom"/>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340" w:type="dxa"/>
            <w:vAlign w:val="bottom"/>
            <w:gridSpan w:val="3"/>
            <w:vMerge w:val="continue"/>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80" w:type="dxa"/>
            <w:vAlign w:val="bottom"/>
            <w:tcBorders>
              <w:right w:val="single" w:sz="8" w:color="CFF0FC"/>
            </w:tcBorders>
            <w:vMerge w:val="continue"/>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721</w:t>
            </w:r>
          </w:p>
        </w:tc>
        <w:tc>
          <w:tcPr>
            <w:tcW w:w="22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gridSpan w:val="2"/>
            <w:vMerge w:val="continue"/>
            <w:shd w:val="clear" w:color="auto" w:fill="CFF0FC"/>
          </w:tcPr>
          <w:p>
            <w:pPr>
              <w:spacing w:after="0"/>
              <w:rPr>
                <w:sz w:val="16"/>
                <w:szCs w:val="16"/>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246)</w:t>
            </w:r>
          </w:p>
        </w:tc>
        <w:tc>
          <w:tcPr>
            <w:tcW w:w="120" w:type="dxa"/>
            <w:vAlign w:val="bottom"/>
            <w:vMerge w:val="continue"/>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052)</w:t>
            </w:r>
          </w:p>
        </w:tc>
        <w:tc>
          <w:tcPr>
            <w:tcW w:w="16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80" w:type="dxa"/>
            <w:vAlign w:val="bottom"/>
            <w:gridSpan w:val="2"/>
            <w:vMerge w:val="continue"/>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-4105275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-4088130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-4105275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-4088130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-4105275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-4088130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-4105275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-4088130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-4105275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-4088130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-4105275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-4088130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-4105275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-4088130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-4105275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-4088130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-4105275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-4088130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-4105275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-4088130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-4105275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-4088130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-4105275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-4088130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130175</wp:posOffset>
            </wp:positionV>
            <wp:extent cx="102870" cy="2311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130175</wp:posOffset>
            </wp:positionV>
            <wp:extent cx="93980" cy="2311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130175</wp:posOffset>
            </wp:positionV>
            <wp:extent cx="93980" cy="231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130175</wp:posOffset>
            </wp:positionV>
            <wp:extent cx="93980" cy="2311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23114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740" w:type="dxa"/>
            <w:vAlign w:val="bottom"/>
          </w:tcPr>
          <w:p>
            <w:pPr>
              <w:spacing w:after="0"/>
              <w:rPr>
                <w:sz w:val="11"/>
                <w:szCs w:val="11"/>
                <w:color w:val="auto"/>
              </w:rPr>
            </w:pPr>
          </w:p>
        </w:tc>
        <w:tc>
          <w:tcPr>
            <w:tcW w:w="1300" w:type="dxa"/>
            <w:vAlign w:val="bottom"/>
            <w:tcBorders>
              <w:top w:val="single" w:sz="8" w:color="auto"/>
            </w:tcBorders>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1"/>
                <w:szCs w:val="11"/>
                <w:color w:val="auto"/>
              </w:rPr>
            </w:pPr>
          </w:p>
        </w:tc>
        <w:tc>
          <w:tcPr>
            <w:tcW w:w="1180" w:type="dxa"/>
            <w:vAlign w:val="bottom"/>
            <w:tcBorders>
              <w:top w:val="single" w:sz="8" w:color="auto"/>
            </w:tcBorders>
            <w:gridSpan w:val="4"/>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Series B Preferred</w:t>
            </w:r>
          </w:p>
        </w:tc>
        <w:tc>
          <w:tcPr>
            <w:tcW w:w="200" w:type="dxa"/>
            <w:vAlign w:val="bottom"/>
          </w:tcPr>
          <w:p>
            <w:pPr>
              <w:spacing w:after="0"/>
              <w:rPr>
                <w:sz w:val="11"/>
                <w:szCs w:val="11"/>
                <w:color w:val="auto"/>
              </w:rPr>
            </w:pPr>
          </w:p>
        </w:tc>
        <w:tc>
          <w:tcPr>
            <w:tcW w:w="1180" w:type="dxa"/>
            <w:vAlign w:val="bottom"/>
            <w:tcBorders>
              <w:top w:val="single" w:sz="8" w:color="auto"/>
            </w:tcBorders>
            <w:gridSpan w:val="4"/>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Series A Preferred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Borders>
              <w:top w:val="single" w:sz="8" w:color="auto"/>
            </w:tcBorders>
            <w:gridSpan w:val="5"/>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Borders>
              <w:bottom w:val="single" w:sz="8" w:color="auto"/>
            </w:tcBorders>
            <w:gridSpan w:val="5"/>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8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ive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ers’</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nt</w:t>
            </w:r>
          </w:p>
        </w:tc>
        <w:tc>
          <w:tcPr>
            <w:tcW w:w="36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nt</w:t>
            </w:r>
          </w:p>
        </w:tc>
        <w:tc>
          <w:tcPr>
            <w:tcW w:w="2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64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9,343,5</w:t>
            </w:r>
          </w:p>
        </w:tc>
        <w:tc>
          <w:tcPr>
            <w:tcW w:w="24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935</w:t>
            </w:r>
          </w:p>
        </w:tc>
        <w:tc>
          <w:tcPr>
            <w:tcW w:w="36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4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0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42,01</w:t>
            </w:r>
          </w:p>
        </w:tc>
        <w:tc>
          <w:tcPr>
            <w:tcW w:w="22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155,794,</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(54,66</w:t>
            </w:r>
          </w:p>
        </w:tc>
        <w:tc>
          <w:tcPr>
            <w:tcW w:w="140" w:type="dxa"/>
            <w:vAlign w:val="bottom"/>
            <w:shd w:val="clear" w:color="auto" w:fill="CFF0FC"/>
          </w:tcPr>
          <w:p>
            <w:pPr>
              <w:spacing w:after="0"/>
              <w:rPr>
                <w:sz w:val="10"/>
                <w:szCs w:val="10"/>
                <w:color w:val="auto"/>
              </w:rPr>
            </w:pP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(5,521,</w:t>
            </w:r>
          </w:p>
        </w:tc>
        <w:tc>
          <w:tcPr>
            <w:tcW w:w="120" w:type="dxa"/>
            <w:vAlign w:val="bottom"/>
            <w:shd w:val="clear" w:color="auto" w:fill="CFF0FC"/>
          </w:tcPr>
          <w:p>
            <w:pPr>
              <w:spacing w:after="0"/>
              <w:rPr>
                <w:sz w:val="10"/>
                <w:szCs w:val="10"/>
                <w:color w:val="auto"/>
              </w:rPr>
            </w:pPr>
          </w:p>
        </w:tc>
        <w:tc>
          <w:tcPr>
            <w:tcW w:w="20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(124,168,</w:t>
            </w:r>
          </w:p>
        </w:tc>
        <w:tc>
          <w:tcPr>
            <w:tcW w:w="2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(135,410)</w:t>
            </w: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25,969,5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24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2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142</w:t>
            </w:r>
          </w:p>
        </w:tc>
        <w:tc>
          <w:tcPr>
            <w:tcW w:w="2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gridSpan w:val="2"/>
            <w:vMerge w:val="continue"/>
            <w:shd w:val="clear" w:color="auto" w:fill="CFF0FC"/>
          </w:tcPr>
          <w:p>
            <w:pPr>
              <w:spacing w:after="0"/>
              <w:rPr>
                <w:sz w:val="18"/>
                <w:szCs w:val="18"/>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246)</w:t>
            </w:r>
          </w:p>
        </w:tc>
        <w:tc>
          <w:tcPr>
            <w:tcW w:w="200" w:type="dxa"/>
            <w:vAlign w:val="bottom"/>
            <w:gridSpan w:val="2"/>
            <w:vMerge w:val="continue"/>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850)</w:t>
            </w:r>
          </w:p>
        </w:tc>
        <w:tc>
          <w:tcPr>
            <w:tcW w:w="100" w:type="dxa"/>
            <w:vAlign w:val="bottom"/>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60" w:type="dxa"/>
            <w:vAlign w:val="bottom"/>
            <w:gridSpan w:val="2"/>
            <w:vMerge w:val="continue"/>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74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Stock-based</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top w:val="single" w:sz="8" w:color="CFF0FC"/>
            </w:tcBorders>
            <w:vMerge w:val="restart"/>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612,951</w:t>
            </w:r>
          </w:p>
        </w:tc>
        <w:tc>
          <w:tcPr>
            <w:tcW w:w="20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612,951</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pursuant to vesting</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6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 restricted stock units</w:t>
            </w: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Payment of taxes</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withheld on issuance of</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(2,072)</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(2,072)</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loss</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(5,196,77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(5,196,7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26"/>
        </w:trPr>
        <w:tc>
          <w:tcPr>
            <w:tcW w:w="1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0"/>
                <w:szCs w:val="10"/>
                <w:color w:val="auto"/>
              </w:rPr>
            </w:pPr>
          </w:p>
        </w:tc>
        <w:tc>
          <w:tcPr>
            <w:tcW w:w="7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24,792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translation</w:t>
            </w: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Unrealized loss, change</w:t>
            </w: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 fair value of available-</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for-sale securities</w:t>
            </w:r>
          </w:p>
        </w:tc>
        <w:tc>
          <w:tcPr>
            <w:tcW w:w="6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7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March 31,</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9,346,3</w:t>
            </w:r>
          </w:p>
        </w:tc>
        <w:tc>
          <w:tcPr>
            <w:tcW w:w="24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936</w:t>
            </w:r>
          </w:p>
        </w:tc>
        <w:tc>
          <w:tcPr>
            <w:tcW w:w="360" w:type="dxa"/>
            <w:vAlign w:val="bottom"/>
          </w:tcPr>
          <w:p>
            <w:pPr>
              <w:spacing w:after="0"/>
              <w:rPr>
                <w:sz w:val="10"/>
                <w:szCs w:val="10"/>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4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0"/>
                <w:szCs w:val="10"/>
                <w:color w:val="auto"/>
              </w:rPr>
            </w:pP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42,01</w:t>
            </w:r>
          </w:p>
        </w:tc>
        <w:tc>
          <w:tcPr>
            <w:tcW w:w="220" w:type="dxa"/>
            <w:vAlign w:val="bottom"/>
            <w:vMerge w:val="restart"/>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156,405,</w:t>
            </w:r>
          </w:p>
        </w:tc>
        <w:tc>
          <w:tcPr>
            <w:tcW w:w="200" w:type="dxa"/>
            <w:vAlign w:val="bottom"/>
          </w:tcPr>
          <w:p>
            <w:pPr>
              <w:spacing w:after="0"/>
              <w:rPr>
                <w:sz w:val="10"/>
                <w:szCs w:val="10"/>
                <w:color w:val="auto"/>
              </w:rPr>
            </w:pP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(54,66</w:t>
            </w:r>
          </w:p>
        </w:tc>
        <w:tc>
          <w:tcPr>
            <w:tcW w:w="14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(5,521,</w:t>
            </w:r>
          </w:p>
        </w:tc>
        <w:tc>
          <w:tcPr>
            <w:tcW w:w="120" w:type="dxa"/>
            <w:vAlign w:val="bottom"/>
          </w:tcPr>
          <w:p>
            <w:pPr>
              <w:spacing w:after="0"/>
              <w:rPr>
                <w:sz w:val="10"/>
                <w:szCs w:val="10"/>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(129,365,</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(111,593)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21,407,4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2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2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020</w:t>
            </w:r>
          </w:p>
        </w:tc>
        <w:tc>
          <w:tcPr>
            <w:tcW w:w="2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gridSpan w:val="2"/>
            <w:vMerge w:val="continue"/>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246)</w:t>
            </w:r>
          </w:p>
        </w:tc>
        <w:tc>
          <w:tcPr>
            <w:tcW w:w="200" w:type="dxa"/>
            <w:vAlign w:val="bottom"/>
            <w:gridSpan w:val="2"/>
            <w:vMerge w:val="continue"/>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623)</w:t>
            </w:r>
          </w:p>
        </w:tc>
        <w:tc>
          <w:tcPr>
            <w:tcW w:w="10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-1653540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-1636395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-1653540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-1636395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-1653540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-1636395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-1653540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-1636395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-1653540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-1636395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-1653540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-1636395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-1653540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-1636395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-1653540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-1636395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-1653540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-1636395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-1653540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-1636395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-1653540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-1636395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-222250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-222250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-222250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-222250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-222250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-222250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-222250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-222250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-222250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-222250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-222250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6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(18,868,885)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(5,196,773)</w:t>
            </w:r>
          </w:p>
        </w:tc>
      </w:tr>
      <w:tr>
        <w:trPr>
          <w:trHeight w:val="203"/>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730,965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756,595</w:t>
            </w: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Amortization of finance right-of-use assets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21,706</w:t>
            </w: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5,459,911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612,951</w:t>
            </w: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Gain on the sale of equipment</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(2,217)</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realized and unrealized (gain) loss on equity securities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(961)</w:t>
            </w:r>
          </w:p>
        </w:tc>
      </w:tr>
      <w:tr>
        <w:trPr>
          <w:trHeight w:val="203"/>
        </w:trPr>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realized gain on debt securities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(47,089)</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fair value of warrant liabilities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(5,035,769)</w:t>
            </w:r>
          </w:p>
        </w:tc>
      </w:tr>
      <w:tr>
        <w:trPr>
          <w:trHeight w:val="203"/>
        </w:trPr>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Accretion of discounts on investments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(19,489)</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in early termination of lease liability</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(608,280)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33,569</w:t>
            </w: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(297,263)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(291,075)</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 and liabilities, net</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(74,224)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54,785</w:t>
            </w: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114,119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684,171</w:t>
            </w: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 and other current liabilities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(1,194,966)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583,073</w:t>
            </w:r>
          </w:p>
        </w:tc>
        <w:tc>
          <w:tcPr>
            <w:tcW w:w="100" w:type="dxa"/>
            <w:vAlign w:val="bottom"/>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(14,271,130)</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(7,797,217)</w:t>
            </w:r>
          </w:p>
        </w:tc>
      </w:tr>
      <w:tr>
        <w:trPr>
          <w:trHeight w:val="196"/>
        </w:trPr>
        <w:tc>
          <w:tcPr>
            <w:tcW w:w="684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the sale of equipment</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Purchases of equipment</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(983,257)</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(139,262,781)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(70,905)</w:t>
            </w:r>
          </w:p>
        </w:tc>
      </w:tr>
      <w:tr>
        <w:trPr>
          <w:trHeight w:val="203"/>
        </w:trPr>
        <w:tc>
          <w:tcPr>
            <w:tcW w:w="68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Proceeds from sales and maturities of investments</w:t>
            </w:r>
          </w:p>
        </w:tc>
        <w:tc>
          <w:tcPr>
            <w:tcW w:w="9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74,596,145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4,741,508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(65,647,676)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4,671,103</w:t>
            </w:r>
          </w:p>
        </w:tc>
        <w:tc>
          <w:tcPr>
            <w:tcW w:w="100" w:type="dxa"/>
            <w:vAlign w:val="bottom"/>
          </w:tcPr>
          <w:p>
            <w:pPr>
              <w:spacing w:after="0"/>
              <w:rPr>
                <w:sz w:val="17"/>
                <w:szCs w:val="17"/>
                <w:color w:val="auto"/>
              </w:rPr>
            </w:pPr>
          </w:p>
        </w:tc>
      </w:tr>
      <w:tr>
        <w:trPr>
          <w:trHeight w:val="196"/>
        </w:trPr>
        <w:tc>
          <w:tcPr>
            <w:tcW w:w="68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Proceeds from the March 2026 Public Offering, net of issuance costs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79,636,964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the March 2026 Public Offering Underwriters Option, net of issuance costs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7,238,000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Proceeds from exercised warrants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2,975,000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Principal payments on financed director and officer insurance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(137,295)</w:t>
            </w:r>
          </w:p>
        </w:tc>
      </w:tr>
      <w:tr>
        <w:trPr>
          <w:trHeight w:val="203"/>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(37,388)</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(34,618)</w:t>
            </w: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(4,571)</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(2,072)</w:t>
            </w:r>
          </w:p>
        </w:tc>
      </w:tr>
      <w:tr>
        <w:trPr>
          <w:trHeight w:val="20"/>
        </w:trPr>
        <w:tc>
          <w:tcPr>
            <w:tcW w:w="68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89,921,121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(173,985)</w:t>
            </w:r>
          </w:p>
        </w:tc>
      </w:tr>
      <w:tr>
        <w:trPr>
          <w:trHeight w:val="196"/>
        </w:trPr>
        <w:tc>
          <w:tcPr>
            <w:tcW w:w="68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10,017,044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(3,257,599)</w:t>
            </w:r>
          </w:p>
        </w:tc>
      </w:tr>
      <w:tr>
        <w:trPr>
          <w:trHeight w:val="20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Beginning of period</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10,502,680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8,897,966</w:t>
            </w:r>
          </w:p>
        </w:tc>
        <w:tc>
          <w:tcPr>
            <w:tcW w:w="100" w:type="dxa"/>
            <w:vAlign w:val="bottom"/>
          </w:tcPr>
          <w:p>
            <w:pPr>
              <w:spacing w:after="0"/>
              <w:rPr>
                <w:sz w:val="17"/>
                <w:szCs w:val="17"/>
                <w:color w:val="auto"/>
              </w:rPr>
            </w:pPr>
          </w:p>
        </w:tc>
      </w:tr>
      <w:tr>
        <w:trPr>
          <w:trHeight w:val="236"/>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End of period</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20,519,724</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5,640,367</w:t>
            </w:r>
          </w:p>
        </w:tc>
        <w:tc>
          <w:tcPr>
            <w:tcW w:w="100" w:type="dxa"/>
            <w:vAlign w:val="bottom"/>
            <w:shd w:val="clear" w:color="auto" w:fill="CFF0FC"/>
          </w:tcPr>
          <w:p>
            <w:pPr>
              <w:spacing w:after="0"/>
              <w:rPr>
                <w:sz w:val="20"/>
                <w:szCs w:val="20"/>
                <w:color w:val="auto"/>
              </w:rPr>
            </w:pPr>
          </w:p>
        </w:tc>
      </w:tr>
      <w:tr>
        <w:trPr>
          <w:trHeight w:val="183"/>
        </w:trPr>
        <w:tc>
          <w:tcPr>
            <w:tcW w:w="6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0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paid for interest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62,986</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70,011</w:t>
            </w: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 on non-cash investing and finance activities: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Right-of-use asset written off due to early termination of lease</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368,425</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lease liability written off due to early termination of lease</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280,415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775,143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2,422,191</w:t>
            </w: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March 2026 Public Offering Issuance Costs included in accrued expenses</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386,335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Purchases of equipment included in accounts payable</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-4324985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-4324985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-3544570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-3544570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-2241550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-2241550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-1187450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-1170305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-1187450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-1170305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SAB Biotherapeutics, Inc., a Delaware corporation (“SAB” or “SAB Biotherapeutics”, and together with its subsidiaries, the “Company”), is a clinical-stage biopharmaceutical company focused on the development of human polyclonal immunotherapeutic antibodies, or human immunoglobulins (“hIgG”), to address immune system disorders and infectious diseases. The Company’s antibodies are both target-specific and polyclonal, meaning they are comprised of multiple hIgGs and can bind to multiple sites on specific immunogens, making them ideally suited to address the complexities associated with many immune-mediated disorders. The Company’s lead candidate, SAB-142 is a human anti-thymocyte globulin (“ATG”) focused on preventing or delaying the progression of type 1 diabetes (“T1D”).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Research and Development Tax Credit</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June 2023, the Company formed a new subsidiary in Australia, SAB BIO PTY LTD, a proprietary limited company (“SAB Australia”), primarily to conduct preclinical and clinical activities for product candidates. SAB Australia’s research and development activities qualify for the Australian government’s tax credit program, which provides a 48.5% credit for qualifying research and development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an accumulated deficit of $129.8 million. The Company anticipates that it will continue to generate losses for the foreseeable future and expects the losses to increase as the Company continues the development of, or seeks regulatory approvals for product candidates, and begins commercialization of products. As a result, the Company will require additional capital to fund operations in order to support long-term plans.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Based on the Company’s current level of operating expenses, existing resources will be sufficient to cover operating cash needs through at least the twelve months following the date of this report. In the future, the Company may seek additional funding through a combination of equity or debt financings, or other third-party financing, collaborative or other funding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applied in preparation of the accompanying condensed consolidated financial statements is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generally accepted accounting principles accepted in the United States of America (“GAAP”) for interim financial statements and the rules of the Securities and Exchange Commission (“SEC”) applicable to interim financial statements.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The accompanying unaudited condensed consolidated financial statements have been prepared by management without audit and should be read in conjunction with our audited consolidated financial statements, including the notes thereto, appearing in our Annual Report on Form 10-K for the fiscal year ended December 31, 2025. In the opinion of management, all adjustments necessary for a fair presentation of the consolidated financial position, consolidated results of operations and other comprehensive loss and consolidated cash flows, for the periods indicated, have been made. The results of operations for the three months ended March 31, 2026 are not necessarily indicative of operating results that may be achieved over the course of the full year.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4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results of the Company and its wholly owned subsidiaries, SAB Sciences, Inc., Diversity Therapeutics, Inc., SAB LLC, SAB Capra, LLC, Aurochs, LLC, and SAB Australia.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research and development efforts, clinical trial activities of the Company’s product candidates, the Company’s ability to obtain regulatory approval to market its product candidates, competition from products manufactured and sold or being developed by other companies, and the Company’s ability to raise capital.</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obtaining and protecting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 and expenses and the disclosure of contingent assets and liabilities in the financial statements. The Company has used significant estimates in its determination of stock-based compensation assumptions, determination of the fair value of the Private Placement Warrant liabilities, determination of the incremental borrowing rate (“IBR”) used in the calculation of the Company’s right of use assets and lease liabilities, estimation of clinical and other accruals and the valuation allowance on deferred tax assets. Actual amounts realized may differ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that would be used to measure fair value into one of three levels: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117"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financial instruments are not measured at fair value on a recurring basis but are recorded at amounts that approximate their fair value due to the short-term nature of their maturities, such as cash and cash equivalents, accrued interest receivable, accounts payable, notes payable, accrued expenses and other current liabilities.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warrants to purchase its common stock par value of $0.0001 per share (its “common stock”) pursuant to Accounting Standards Codification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 and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classifies warrants for common stock as liabilities or equity. The warrants classified as liabilities are reported at their estimated fair value (see Note 11,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and any changes in fair value are reflected in other income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700"/>
        <w:spacing w:after="0" w:line="282" w:lineRule="auto"/>
        <w:rPr>
          <w:sz w:val="20"/>
          <w:szCs w:val="20"/>
          <w:color w:val="auto"/>
        </w:rPr>
      </w:pPr>
      <w:r>
        <w:rPr>
          <w:rFonts w:ascii="Times New Roman" w:cs="Times New Roman" w:eastAsia="Times New Roman" w:hAnsi="Times New Roman"/>
          <w:sz w:val="18"/>
          <w:szCs w:val="18"/>
          <w:color w:val="auto"/>
        </w:rPr>
        <w:t xml:space="preserve">(expense). The warrants classified as equity are reported at their estimated relative fair value with no subsequent remeasurement. The Company’s outstanding warrants are discussed in more detail in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Issuance Costs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in shareholders’ equity as a reduction of additional paid-in capital generated as a result of the issuance.</w:t>
      </w:r>
    </w:p>
    <w:p>
      <w:pPr>
        <w:spacing w:after="0" w:line="6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 xml:space="preserve">The Company did not have any deferred issuance costs as of March 31, 2026. As of December 31, 2025, the Company had $150 thousand of deferred issuance costs, related to the Company’s sales agreement with UBS Securities LLC. The sales agreement is discussed further in Note 8,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cash and highly liquid investments with original maturities of 90 days or less at the date of purchase. Cash equivalents consist primarily of exchange-traded money market funds and U.S. treasury securities.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default by the financial institutions or the issuers of these investments to the extent the amounts on deposit or invested are in excess of amounts that are insured.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investments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accounts for investments in accordance with ASC Topic 320, Investments - Debt and Equity Securities. Management determines the appropriate classification of its investments at the time of purchase and reevaluates such determinations at each reporting period.</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March 31, 2026, the Company’s short-term and long-term investments consisted of U.S. treasury securities with original maturity exceeding 90 days, and investments in exchange traded mutual funds. The Company classifies these securities as current and non-current. The Company considers all of its securities for which there is a determinable fair market value, and there are no restrictions on the Company’s ability to sell within the next twelve months, as available-for-sale securities.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recognizes the change in fair value of available-for-sale equity securities within other income in the condensed consolidated statements of operations and comprehensive loss, and available-for-sale debt securities are measured at fair value with unrealized gains and losses reported in accumulated other comprehensive income (loss) in the condensed consolidated balance sheets.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reviews its investments at each reporting date to identify and evaluate whether a decline in fair value below the amortized cost basis of available-for-sale debt securities is due to credit-related factors and determines if such unrealized losses are the result of credit losses that require impairment. The Company records an allowance for credit losses on available-for-sale debt securities when a decline in fair value is determined to be credit-related, rather than recording a direct write-down of the investment's amortized cost. Factors considered in determining whether an unrealized loss is the result of credit-related factors include the extent to which the fair value is less than the cost basis, any changes to the rating of the security by a rating agency, the financial condition and near-term prospects of the issuer, any historical failure of the issuer to make scheduled interest or principal payments, any adverse legal or regulatory events affecting the issuer or issuer’s industry, any significant deterioration in economic condition and the Company’s intent and ability to hold the investment for a period of time sufficient to allow for any anticipated recovery in market value.</w:t>
      </w:r>
    </w:p>
    <w:p>
      <w:pPr>
        <w:spacing w:after="0" w:line="84" w:lineRule="exact"/>
        <w:rPr>
          <w:sz w:val="20"/>
          <w:szCs w:val="20"/>
          <w:color w:val="auto"/>
        </w:rPr>
      </w:pPr>
    </w:p>
    <w:p>
      <w:pPr>
        <w:ind w:right="240"/>
        <w:spacing w:after="0" w:line="375" w:lineRule="auto"/>
        <w:rPr>
          <w:sz w:val="20"/>
          <w:szCs w:val="20"/>
          <w:color w:val="auto"/>
        </w:rPr>
      </w:pPr>
      <w:r>
        <w:rPr>
          <w:rFonts w:ascii="Times New Roman" w:cs="Times New Roman" w:eastAsia="Times New Roman" w:hAnsi="Times New Roman"/>
          <w:sz w:val="18"/>
          <w:szCs w:val="18"/>
          <w:color w:val="auto"/>
        </w:rPr>
        <w:t xml:space="preserve">The Company did not recognize any credit losses on its short-term and long-term investments during the three months ended March 31, 2026 and 2025. </w:t>
      </w:r>
      <w:r>
        <w:rPr>
          <w:rFonts w:ascii="Times New Roman" w:cs="Times New Roman" w:eastAsia="Times New Roman" w:hAnsi="Times New Roman"/>
          <w:sz w:val="18"/>
          <w:szCs w:val="18"/>
          <w:b w:val="1"/>
          <w:bCs w:val="1"/>
          <w:i w:val="1"/>
          <w:iCs w:val="1"/>
          <w:color w:val="auto"/>
        </w:rPr>
        <w:t>Concentration of credit risk</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maintains its cash and cash equivalent balances in the form of business checking accounts and money market accounts, the balances of which, at times, may exceed federally insured limits. Although the Company currently believes that the financial institutions with whom it does business will be able to fulfill their commitments to the Company, there is no assurance that those institutions will be able to continue to do so. The Company has not experienced any credit losses associated with its balances in such accounts for the three months ended March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 and right-of-use assets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party to certain contractual arrangements for equipment, lab space, and an animal facility, which meet the definition of leases under Financial Accounting Standards Board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In accordance with ASC 842, the Company recorded right-of-use assets and related lease liabilities for the present value of the lease payments over the lease terms. The Company’s IBR was used in the calculation of its right-of-use assets and lease liabilities.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0" w:name="page11"/>
    <w:bookmarkEnd w:id="10"/>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elected not to apply the recognition requirements of ASC 842 to short-term leases, which are deemed to be leases with a lease term of twelve months or less. Instead, the Company recognizes lease payments in the condensed consolidated statements of operations and comprehensive loss on a straight-line basis over the lease term and variable payments in the period in which the obligation for these payments was incurred. The Company elected this policy for all classes of underlying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Expenses incurred in connection with research and development activities are expensed as incurred. These include licensing fees to use certain technology in the Company’s research and development projects, fees paid to consultants and various entities that perform certain research and testing on behalf of the Company, and expenses related to animal care, research-use equipment depreciation, salaries, benefits, and stock-based compensation granted to employees in research and development functions.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had contracts with multiple contract research organizations (“CRO”) to complete studies as part of research grant agreements. These costs include upfront, milestone and monthly expenses as well as reimbursement for pass through costs. All research and development costs are expensed as incurred except when the Company is accounting for nonrefundable advance payments for goods or services to be used in future research and development activities. In these cases, these payments are capitalized at the time of payment and expensed in the period the research and development activity is performed. As actual costs become known, the Company will adjust the accrual; such changes in estimate may result in material changes in the Company’s clinical study accrual, which could also materially affect reported results of operations. For the three months ended March 31, 2026 and 2025, there were no material adjustments to the Company’s prior period estimates of accrued expenses for clinical trials.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property, plant, and equipment at cost less depreciation and amortization. Depreciation is calculated using straight-line methods over the following estimated useful lives: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Animal facility equipment</w:t>
            </w:r>
          </w:p>
        </w:tc>
        <w:tc>
          <w:tcPr>
            <w:tcW w:w="5200" w:type="dxa"/>
            <w:vAlign w:val="bottom"/>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2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200" w:type="dxa"/>
            <w:vAlign w:val="bottom"/>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rPr>
              <w:t>Shorter of asset life or lease term</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2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5200" w:type="dxa"/>
            <w:vAlign w:val="bottom"/>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rPr>
              <w:t>5 years</w:t>
            </w:r>
          </w:p>
        </w:tc>
      </w:tr>
      <w:tr>
        <w:trPr>
          <w:trHeight w:val="32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Repairs and maintenance expenses are expensed as incurred.</w:t>
            </w:r>
          </w:p>
        </w:tc>
        <w:tc>
          <w:tcPr>
            <w:tcW w:w="52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the related useful lives, whenever events or changes in circumstances indicate that the carrying amount of a long-lived asset may not be recoverable. If necessary,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long-lived assets are recoverable, and no impairment was deemed necessary, during the three months ended March 31,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FASB ASC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prescribes accounting and reporting standards for all share-based payment transactions in which employee and non-employee services are acquired. The Company recognizes compensation cost relating to stock-based payment transactions using a fair-value measurement method, which requires all stock-based payments to employees, directors, and non-employee consultants, including grants of stock options, to be recognized in operating results as compensation expense based on fair value over the requisite service period of the awards. The Company determines the fair value of common stock based on the closing market price at closing on the date of the grant.</w:t>
      </w:r>
    </w:p>
    <w:p>
      <w:pPr>
        <w:spacing w:after="0" w:line="7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utilizes the Black-Scholes option-pricing model, which uses both historical and current market data to estimate fair value. The Black-Scholes option-pricing model incorporates various assumptions, such as the value of the underlying common stock, the risk-free interest rate, expected volatility, expected dividend yield, and expected life of the options. For awards with performance-based vesting criteria, the Company estimates the probability of achievement of the performance criteria and recognizes compensation expense related to those awards expected to vest. No awards may have a term in excess of ten years. Forfeitures are recorded when they occur. Stock-based compensation expense is classified in the condensed consolidated statements of operations based on the function to which the related services are provided. The Company recognizes stock-based compensation expense over the vesting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Deferred income taxes reflect future tax effects of temporary differences between the tax and financial reporting basis of the Company’s assets and liabilities measured using enacted tax laws and statutory tax rates applicable to the periods when the temporary differences will affect taxable income. When necessary, deferred tax assets are reduced by a valuation allowance, to reflect realizable value, and all deferred tax balances are reported as long-term on the condensed consolidated balance sheets. Accruals are maintained for uncertain tax positions, as necessary.</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uses a recognition threshold and measurement attribute for the financial statement recognition and measurement of a tax position taken, or expected to be taken, in a tax return. The Company has elected to treat interest and penalties related to income taxes, to the extent they arise, as a component of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Translations and Transactions</w:t>
      </w:r>
    </w:p>
    <w:p>
      <w:pPr>
        <w:spacing w:after="0" w:line="121"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Assets and liabilities of the Company's foreign subsidiary are translated at the period-end exchange rate. Operating results of the Company's foreign subsidiary are translated at average exchange rates during the period. Translation adjustments have no effect on net income (loss) and are included in “Accumulated other comprehensive income (loss)” in the accompanying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The components of comprehensive loss for the three months ended March 31, 2026 and 2025 consist of foreign currency translation adjustments from its subsidiaries not using the U.S. dollar as their functional currency, and unrealized gains and losses on available-for-sale debt securities. During the three months ended March 31, 2026, $47 thousand of net realized gains was reclassified from accumulated comprehensive income (loss) to other income. The Company did not reclassify any realized gains or losses for the three months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investigations and claims generally incidental to its normal business activities. In accordance with U.S. GAAP, the Company accrues for loss contingencies when it is probable that a liability has been incurred and the amount of the loss can be reasonably estimated. Legal costs in connection with loss contingencies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basic net income (loss) per share attributable to common stockholders is computed by dividing net income (loss) attributable to common stockholders by the weighted-average number of common stock outstanding during the period. Diluted net income (loss) per share attributable to common stockholders is computed by dividing the diluted net income (loss) attributable to common stockholders by the weighted-average number of common stock outstanding for the period including potential dilutive common shares such as stock options and convertible preferred stock. See Note 4,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19"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Company’s business activities are organized into one reportable segment, as only the Company’s operating results in their entirety are regularly reviewed by the Company’s chief operating decision maker to make decisions about resources to be allocated and to assess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Research and Development Tax Credit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recognizes other income from Australian research and development incentives when there is reasonable assurance that the income will be received, the relevant expenditure has been incurred, and the consideration can be reliably measured. The research and development incentive is one of the key elements of the Australian Government’s support for Australia’s innovation system and is supported by legislative law primarily in the form of the Australian Income Tax Assessment Act 1997, as long as eligibility criteria are met. Under the program, a percentage of eligible research and development expenses incurred by the Company through its subsidiary in Australia are reimbursed. The Company recognized $0.1 million and $0.4 million in tax credit income for the three months ended March 31, 2026 and 2025, respectively.</w:t>
      </w:r>
    </w:p>
    <w:p>
      <w:pPr>
        <w:spacing w:after="0" w:line="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has assessed the Company’s research and development activities and expenditures to determine which activities and expenditures are likely to be eligible under the research and development incentive regime described above. At each period end,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 estimates the refundable tax offset available to the Company based on available information at the time and it is included in other income in the condensed consolidated statements of operations and comprehensive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(Topic 220)”. ASU 2024-03 requires additional disclosure in the notes to financial statements of specified information about certain expenses such as purchases of inventory, employee compensation, depreciation, intangible asset amortization, and depreciation and other expenses which are presented in the face of the income statement within continuing operations. This ASU is effective for annual periods beginning after December 15, 2026, and interim periods within annual periods beginning after December 15, 2027, with early adoption permitted. The Company is currently evaluating the impact of adopting this ASU on its condensed consolidated financial statements and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Since the Company reported a net loss for the three months ended March 31, 2026 and 2025, it was required by ASC 260 to use basic weighted-average shares outstanding when calculating diluted net loss per share for the three months ended March 31, 2026 and 2025, as the potential dilutive securities are anti-dilutive.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and denominator used to calculate basic earnings per share and diluted earnings per share for the three months ended March 31,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690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Calculation of basic loss per share attributable to the Company’s shareholders</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(18,868,885)</w:t>
            </w:r>
          </w:p>
        </w:tc>
        <w:tc>
          <w:tcPr>
            <w:tcW w:w="46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(5,196,773)</w:t>
            </w: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53,558,639</w:t>
            </w: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9,291,641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28"/>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Earnings per share - basic and diluted</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(0.35)</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-156845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Included within weighted average common shares outstanding for the three months ended March 31, 2026, are 2,753,246 common shares issuable upon the exercise of pre-funded warrants, as the warrants are exercisable at any time for nominal consideration, and, as such, the shares are considered outstanding for the purpose of calculating basic and diluted net loss per share attributable to common stockholders.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other potentially dilutive securities, which include stock options, restricted stock awards, common stock warrants, earnout shares, and contingently issuable earnout shares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5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and awards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38,970,396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 (1)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2,233,407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Preferred Stock (2)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4,504,824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6,669,742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 (3)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17,002,381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Enrollment Warrants (4)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98,300,000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Release Date Warrants (4)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Contingently issuable Earnout Shares from unexercised Rollover</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150,806</w:t>
            </w:r>
          </w:p>
        </w:tc>
        <w:tc>
          <w:tcPr>
            <w:tcW w:w="220" w:type="dxa"/>
            <w:vAlign w:val="bottom"/>
            <w:vMerge w:val="restart"/>
            <w:shd w:val="clear" w:color="auto" w:fill="CFF0FC"/>
          </w:tcPr>
          <w:p>
            <w:pPr>
              <w:spacing w:after="0"/>
              <w:rPr>
                <w:sz w:val="17"/>
                <w:szCs w:val="17"/>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6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211,161,814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29,039,570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20" w:hanging="503"/>
        <w:spacing w:after="0" w:line="255"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within common stock warrants are the 575,000 shares of common stock underlying public warrants (the “Public Warrants”), 20,860 shares of common stock underlying warrants held by assignees of Big Cypress Holdings, LLC (the “Private Placement Warrants”), 30,000 shares underlying warrants held by Ladenburg Thalmann &amp; Co. Inc. (the “Ladenburg Warrants”), 736,337 shares underlying warrants issued to the investors in the December 2022 Private Placement (the “the PIPE Warrants”), 21,091 shares underlying warrants issued to the placement agent in the December 2022 Private Placement (the “PIPE Placement Agent Warrants”), and 850,119 shares underlying the Preferred PIPE Placement Agent Warrants issued to the placement agent in the September 2023 Offering. See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for further details on the Company’s outstanding warrants.</w:t>
      </w:r>
    </w:p>
    <w:p>
      <w:pPr>
        <w:spacing w:after="0" w:line="80"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4,504,824 and 6,669,742 shares of common stock underlying 28,380 and 42,019 issued and outstanding shares of Series A-2 Preferred Stock, for the three months ended March 31, 2026 and 2025, respectively. See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details on the Company’s preferred stock.</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17,002,381 shares of common stock underlying 107,115 outstanding Preferred Tranche C Warrants (as defined below) for the three months ended March 31, 2026. See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for further details on the Company’s outstanding warrants.</w:t>
      </w:r>
    </w:p>
    <w:p>
      <w:pPr>
        <w:spacing w:after="0" w:line="53"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50,000,000 and 98,300,000 shares of common stock underlying the Release Date Warrants and Enrollment Warrants, respectively, for the three months ended March 31, 2026.</w:t>
      </w:r>
    </w:p>
    <w:p>
      <w:pPr>
        <w:spacing w:after="0" w:line="26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Company’s property, plant and equipment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11,521,555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11,339,840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Animal facility leasehold improvements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Animal facility equipment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7,166,839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7,064,721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1,943,751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1,778,231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31,937,324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30,822,364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(18,123,754)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(17,516,462)</w:t>
            </w: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13,813,570</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13,305,902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-453390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$0.7 million for the three months ended March 31, 2026 and $0.8 million for the three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an operating lease for lab space from Sanford Health, under a lease that started in June 2014 and initially ended in June 2019, at which time the lease was extended through August 2024. This lease was renewed in January 2025 for a five-year-term ending on December 31, 2029. This lease can be terminated with one-year advance written notice and does not include an option to extend beyond the life of the current term. The lease costs are approximately $50 thousand per month through 2025, with an annual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4" w:name="page15"/>
    <w:bookmarkEnd w:id="14"/>
    <w:p>
      <w:pPr>
        <w:ind w:right="40"/>
        <w:spacing w:after="0" w:line="266" w:lineRule="auto"/>
        <w:rPr>
          <w:sz w:val="20"/>
          <w:szCs w:val="20"/>
          <w:color w:val="auto"/>
        </w:rPr>
      </w:pPr>
      <w:r>
        <w:rPr>
          <w:rFonts w:ascii="Times New Roman" w:cs="Times New Roman" w:eastAsia="Times New Roman" w:hAnsi="Times New Roman"/>
          <w:sz w:val="18"/>
          <w:szCs w:val="18"/>
          <w:color w:val="auto"/>
        </w:rPr>
        <w:t>increase of 2% through 2029. The lease does not provide an implicit rate, and, therefore, the Company used an IBR of 9.90% as the discount rate when measuring the operating lease liability. The Company estimated the IBR based upon comparing interest rates available in the market for similar borrowings and the credit quality of the Company.</w:t>
      </w:r>
    </w:p>
    <w:p>
      <w:pPr>
        <w:spacing w:after="0" w:line="6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entered into a lease for office, laboratory, and warehouse space in November 2020, as amended in July 2022, and renewed in November 2023. This renewed lease has a 3-year term, with options to extend for 3 additional periods of 3 years each. The options were not included in the right of use calculation as it was unclear as to whether or not the location will meet the Company’s requirements beyond the next three years. The lease costs are $31 thousand per month for the November 2023 lease renewal. The Company used an IBR of 8.14% as the discount rate when measuring the operating lease liability for the November 2023 lease renewal. The Company estimated the IBR based upon comparing interest rates available in the market for similar borrowings and the credit quality of the Company.</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2024, the Company entered into a lease for 1,272 square feet of office space in Miami Beach, Florida. The initial term was 62 months, with monthly payments of approximately $7 thousand through 2024 and annual escalations of 4% through 2029. The lease liability was measured using an IBR of 7.12%. In September 2025, the Company terminated this lease and entered into a new lease for expanded space totaling 3,099 square feet in the same location. The new lease commenced in January 2026 with a 60-month term, monthly payments of approximately $17 thousand through 2026, and annual escalations of 3% through 2030. The new lease liability was measured using an IBR of 14.90%. The Company estimated the IBR based upon comparing interest rates available in the market for similar borrowings and the credit quality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finance leases:</w:t>
      </w:r>
    </w:p>
    <w:p>
      <w:pPr>
        <w:spacing w:after="0" w:line="117" w:lineRule="exact"/>
        <w:rPr>
          <w:sz w:val="20"/>
          <w:szCs w:val="20"/>
          <w:color w:val="auto"/>
        </w:rPr>
      </w:pPr>
    </w:p>
    <w:p>
      <w:pPr>
        <w:ind w:left="380" w:right="120" w:hanging="372"/>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the Company entered into a finance lease with Dakota Ag Properties for a new animal facility which includes the surrounding land. The facility and the land have been accounted for as separate lease components. The lease is based upon payback of $4 million in construction costs, with a 20-year term at an interest rate of 8%. The monthly payment for this lease is $34 thousand. The Company has the option to purchase the asset at any time during the term of the lease for the balance of the unamortized lease payments.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agreements do not require material variable lease payments, residual value guarantees or restrictive covenants.</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amortizable lives of the operating lease assets are limited by their expected lease terms. The amortizable lives of the finance lease assets are limited by their expected lives, as the Company intends to exercise the purchase options at the end of the leases. The following is the estimated useful lives of the finance lease assets: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Animal Facility</w:t>
            </w:r>
          </w:p>
        </w:tc>
        <w:tc>
          <w:tcPr>
            <w:tcW w:w="6540" w:type="dxa"/>
            <w:vAlign w:val="bottom"/>
            <w:shd w:val="clear" w:color="auto" w:fill="CFF0FC"/>
          </w:tcPr>
          <w:p>
            <w:pPr>
              <w:jc w:val="center"/>
              <w:ind w:left="1170"/>
              <w:spacing w:after="0"/>
              <w:rPr>
                <w:sz w:val="20"/>
                <w:szCs w:val="20"/>
                <w:color w:val="auto"/>
              </w:rPr>
            </w:pPr>
            <w:r>
              <w:rPr>
                <w:rFonts w:ascii="Times New Roman" w:cs="Times New Roman" w:eastAsia="Times New Roman" w:hAnsi="Times New Roman"/>
                <w:sz w:val="18"/>
                <w:szCs w:val="18"/>
                <w:color w:val="auto"/>
                <w:w w:val="99"/>
              </w:rPr>
              <w:t>40 years</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65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7"/>
              </w:rPr>
              <w:t>3–7 years</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6540" w:type="dxa"/>
            <w:vAlign w:val="bottom"/>
            <w:shd w:val="clear" w:color="auto" w:fill="CFF0FC"/>
          </w:tcPr>
          <w:p>
            <w:pPr>
              <w:jc w:val="center"/>
              <w:ind w:left="1190"/>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weighted-average remaining lease term and weighted-average discount rate for operating and finance leases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2720" w:type="dxa"/>
            <w:vAlign w:val="bottom"/>
            <w:gridSpan w:val="4"/>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48"/>
        </w:trPr>
        <w:tc>
          <w:tcPr>
            <w:tcW w:w="5920" w:type="dxa"/>
            <w:vAlign w:val="bottom"/>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2026 - remaining</w:t>
            </w:r>
          </w:p>
        </w:tc>
        <w:tc>
          <w:tcPr>
            <w:tcW w:w="1340" w:type="dxa"/>
            <w:vAlign w:val="bottom"/>
            <w:tcBorders>
              <w:top w:val="single" w:sz="8" w:color="auto"/>
            </w:tcBorders>
            <w:gridSpan w:val="2"/>
          </w:tcPr>
          <w:p>
            <w:pPr>
              <w:jc w:val="right"/>
              <w:ind w:right="500"/>
              <w:spacing w:after="0" w:line="148"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100" w:type="dxa"/>
            <w:vAlign w:val="bottom"/>
            <w:tcBorders>
              <w:top w:val="single" w:sz="8" w:color="auto"/>
            </w:tcBorders>
          </w:tcPr>
          <w:p>
            <w:pPr>
              <w:jc w:val="right"/>
              <w:ind w:right="236"/>
              <w:spacing w:after="0" w:line="148"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80" w:type="dxa"/>
            <w:vAlign w:val="bottom"/>
          </w:tcPr>
          <w:p>
            <w:pPr>
              <w:spacing w:after="0"/>
              <w:rPr>
                <w:sz w:val="12"/>
                <w:szCs w:val="12"/>
                <w:color w:val="auto"/>
              </w:rPr>
            </w:pPr>
          </w:p>
        </w:tc>
        <w:tc>
          <w:tcPr>
            <w:tcW w:w="1340" w:type="dxa"/>
            <w:vAlign w:val="bottom"/>
            <w:tcBorders>
              <w:top w:val="single" w:sz="8" w:color="auto"/>
            </w:tcBorders>
            <w:gridSpan w:val="2"/>
          </w:tcPr>
          <w:p>
            <w:pPr>
              <w:ind w:left="200"/>
              <w:spacing w:after="0" w:line="148"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80" w:type="dxa"/>
            <w:vAlign w:val="bottom"/>
            <w:tcBorders>
              <w:top w:val="single" w:sz="8" w:color="auto"/>
            </w:tcBorders>
          </w:tcPr>
          <w:p>
            <w:pPr>
              <w:jc w:val="right"/>
              <w:ind w:right="216"/>
              <w:spacing w:after="0" w:line="148"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80" w:type="dxa"/>
            <w:vAlign w:val="bottom"/>
          </w:tcPr>
          <w:p>
            <w:pPr>
              <w:spacing w:after="0"/>
              <w:rPr>
                <w:sz w:val="12"/>
                <w:szCs w:val="12"/>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5"/>
              </w:rPr>
              <w:t>3.62</w:t>
            </w:r>
          </w:p>
        </w:tc>
        <w:tc>
          <w:tcPr>
            <w:tcW w:w="30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shd w:val="clear" w:color="auto" w:fill="CFF0FC"/>
          </w:tcPr>
          <w:p>
            <w:pPr>
              <w:spacing w:after="0"/>
              <w:rPr>
                <w:sz w:val="18"/>
                <w:szCs w:val="18"/>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(percentage)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11.20%</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w:t>
            </w: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9.45%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r>
    </w:tbl>
    <w:p>
      <w:pPr>
        <w:spacing w:after="0" w:line="1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with terms of more than one year to the total lease liabilities recognized on the condensed consolidated balance sheets as of March 31,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5"/>
                <w:szCs w:val="15"/>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 remaining</w:t>
            </w:r>
          </w:p>
        </w:tc>
        <w:tc>
          <w:tcPr>
            <w:tcW w:w="3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830,626</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301,122</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401,496</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401,496</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401,496</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401,496</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3,178,510</w:t>
            </w:r>
          </w:p>
        </w:tc>
        <w:tc>
          <w:tcPr>
            <w:tcW w:w="100" w:type="dxa"/>
            <w:vAlign w:val="bottom"/>
          </w:tcPr>
          <w:p>
            <w:pPr>
              <w:spacing w:after="0"/>
              <w:rPr>
                <w:sz w:val="18"/>
                <w:szCs w:val="18"/>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future minimum lease payments</w:t>
            </w:r>
          </w:p>
        </w:tc>
        <w:tc>
          <w:tcPr>
            <w:tcW w:w="3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3,608,427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5,085,616</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(673,835)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(1,847,085)</w:t>
            </w: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2,934,592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3,238,531</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(763,705)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(156,958)</w:t>
            </w:r>
          </w:p>
        </w:tc>
      </w:tr>
      <w:tr>
        <w:trPr>
          <w:trHeight w:val="20"/>
        </w:trPr>
        <w:tc>
          <w:tcPr>
            <w:tcW w:w="44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2,170,887</w:t>
            </w:r>
          </w:p>
        </w:tc>
        <w:tc>
          <w:tcPr>
            <w:tcW w:w="1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3,081,573</w:t>
            </w:r>
          </w:p>
        </w:tc>
        <w:tc>
          <w:tcPr>
            <w:tcW w:w="100" w:type="dxa"/>
            <w:vAlign w:val="bottom"/>
            <w:shd w:val="clear" w:color="auto" w:fill="CFF0FC"/>
          </w:tcPr>
          <w:p>
            <w:pPr>
              <w:spacing w:after="0"/>
              <w:rPr>
                <w:sz w:val="21"/>
                <w:szCs w:val="21"/>
                <w:color w:val="auto"/>
              </w:rPr>
            </w:pPr>
          </w:p>
        </w:tc>
      </w:tr>
      <w:tr>
        <w:trPr>
          <w:trHeight w:val="629"/>
        </w:trPr>
        <w:tc>
          <w:tcPr>
            <w:tcW w:w="4460" w:type="dxa"/>
            <w:vAlign w:val="bottom"/>
            <w:tcBorders>
              <w:top w:val="single" w:sz="8" w:color="CFF0FC"/>
            </w:tcBorders>
          </w:tcPr>
          <w:p>
            <w:pPr>
              <w:spacing w:after="0"/>
              <w:rPr>
                <w:sz w:val="24"/>
                <w:szCs w:val="24"/>
                <w:color w:val="auto"/>
              </w:rPr>
            </w:pPr>
          </w:p>
        </w:tc>
        <w:tc>
          <w:tcPr>
            <w:tcW w:w="328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60"/>
        <w:spacing w:after="0" w:line="266" w:lineRule="auto"/>
        <w:rPr>
          <w:sz w:val="20"/>
          <w:szCs w:val="20"/>
          <w:color w:val="auto"/>
        </w:rPr>
      </w:pPr>
      <w:r>
        <w:rPr>
          <w:rFonts w:ascii="Times New Roman" w:cs="Times New Roman" w:eastAsia="Times New Roman" w:hAnsi="Times New Roman"/>
          <w:sz w:val="18"/>
          <w:szCs w:val="18"/>
          <w:color w:val="auto"/>
        </w:rPr>
        <w:t>Operating lease expense was approximately $301 thousand for the three months ended March 31, 2026, and $268 thousand for the three months ended March 31, 2025. Operating lease costs are included within research and development expenses on the condensed consolidated statements of operations and comprehensive loss.</w:t>
      </w:r>
    </w:p>
    <w:p>
      <w:pPr>
        <w:spacing w:after="0" w:line="6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Finance lease costs for the three months ended March 31, 2026 included approximately $22 thousand in right-of-use asset amortization and approximately $63 thousand of interest expense.</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Finance lease costs for the three months ended March 31, 2025 included approximately $22 thousand in right-of-use asset amortization and approximately $66 thousand of interest expense. Finance lease costs are included within research and development expenses on the condensed consolidated statements of operations and comprehensive loss.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payments under operating leases were approximately $280 thousand for the three months ended March 31, 2026. Cash payments under finance leases were approximately $100 thousand for the three months ended March 31, 2026.</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payments under operating leases were approximately $213 thousand for the three months ended March 31, 2025. Cash payments under finance leases were approximately $100 thousand for the three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accrued expenses and other current liabilities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2,894,637</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5,036,039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322,743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financing fees payable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386,335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business consulting</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354,361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188,050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5,386,530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6,583,996</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Capital Stock</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total number of shares of the Company’s authorized capital stock is 810,000,000. The total amount of authorized capital stock consists of 800,000,000 shares of common stock and 10,000,000 shares of preferred stock. As of March 31, 2026, 75,744,576 shares of common stock, 28,380 shares of Series A Preferred Stock and 587,879 shares of Series B Preferred Stock were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and Warrants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29, 2023, the Company entered into a securities purchase agreement (the “September 2023 Purchase Agreement”) with certain accredited investors, pursuant to which the Company agreed to issue and sell, in a private placement (the “September 2023 Offering”), (i) 7,500 shares of Series A-1 Convertible Preferred Stock, par value $0.0001 per share (the “Series A-1 Preferred Stock”), (ii) tranche A warrants (the “Preferred Tranche A Warrants”) to acquire shares of Series A-1 Preferred Stock or Series A-3 Preferred Stock, par value $0.0001 per share, (iii) tranche B warrants to acquire shares of Series A-3 Preferred Stock, par value $0.0001 per share (the “Preferred Tranche B Warrants”), and (iv) tranche C warrants to purchase Series A-3 Preferred Stock, par value $0.0001 per share (the “Preferred Tranche C Warrants” and together with the Preferred Tranche A Warrants, and Preferred Tranche B Warrants, the “Preferred Warrants”). The Series A-1 Preferred Stock, Series A-2 Preferred Stock, and Series A-3 Preferred Stock are collectively referred to in this section as the “Series A Preferred Stock.”</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holders exercised Preferred Tranche A Warrants to purchase an aggregate of 59,654 shares of Series A-1 Preferred Stock for gross proceeds of approximately $59.65 million. Unexercised Preferred Tranche A Warrants, together with the associated Tranche B Warrants, were forfeited or cancelled in accordance with the terms of the September 2023 Purchase Agreement. Preferred Tranche C Warrants remain outstanding and exercisable until the five (5) year anniversary of their exercisability date.</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issued an aggregate of 67,154 shares of Series A-1 Preferred Stock in connection with the September 2023 Offering and the exercise of the Preferred Tranche A Warrants.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40"/>
        <w:spacing w:after="0" w:line="255" w:lineRule="auto"/>
        <w:rPr>
          <w:sz w:val="20"/>
          <w:szCs w:val="20"/>
          <w:color w:val="auto"/>
        </w:rPr>
      </w:pPr>
      <w:r>
        <w:rPr>
          <w:rFonts w:ascii="Times New Roman" w:cs="Times New Roman" w:eastAsia="Times New Roman" w:hAnsi="Times New Roman"/>
          <w:sz w:val="18"/>
          <w:szCs w:val="18"/>
          <w:color w:val="auto"/>
        </w:rPr>
        <w:t>Following receipt of required stockholder approval, 24,918 shares of Series A-1 Preferred Stock were automatically converted into an aggregate of 3,954,674 shares of common stock at a conversion price of $6.30 per share (approximately 158.8 shares of common stock for each share of Series A-1 Preferred Stock). The remaining 42,236 shares of Series A-1 Preferred Stock were converted into an equal number of shares of Series A-2 Preferred Stock, which are convertible into common stock at the same conversion price of $6.30 per share, subject to certain beneficial ownership limitations as set forth in the Certificate of Designation of Preferences, Rights and Limitations of the Series A Convertible Voting Preferred Stock (the “Certificate of Designation”). There were no Series A-2 Preferred stock converted for the three months ended March 31, 2026 and 13,639 shares of Series A-2 Preferred Stock were converted into 2,164,918 shares of common stock during the twelve months ended December 31, 2025.</w:t>
      </w:r>
    </w:p>
    <w:p>
      <w:pPr>
        <w:spacing w:after="0" w:line="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Holders of Series A Preferred Stock are entitled to receive dividends on an as-converted-to-common-stock basis and to vote together with holders of common stock, subject to a beneficial ownership blocker of either 4.99% or 9.99%, as elected by each holder. The shares of Series A Preferred Stock are convertible into common stock at a conversion price of $6.30 per share.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regarding the Company’s outstanding warrants, refer to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and Warrants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21, 2025, the Company entered into the July 2025 Purchase Agreement with certain accredited investors, pursuant to which the Company agreed to issue and sell, in a private placement, (i) 1,000,000 Series B Shares convertible into 100,000,000 shares of Common Stock, (ii) Release Date Warrants to purchase up to 500,000 shares of Series B Preferred Stock, and (iii) Enrollment Date Warrants to purchase up to 1,000,000 shares of Series B Preferred Stock. The closing of the Series B Offering occurred on July 22, 2025.</w:t>
      </w:r>
    </w:p>
    <w:p>
      <w:pPr>
        <w:spacing w:after="0" w:line="7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aggregate gross proceeds to the Company from the issuance and sale of the Series B Shares, Release Date Warrants, and Enrollment Date Warrants was $175 million, before deducting fees to be paid to the placement agents and financial advisors of the Company and other estimated offering expenses payable by the Company. The Company incurred $11.1 million in offering costs resulting in net proceeds of $163.9 million. The aggregate exercise price of the Warrants is approximately $284 million.</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Release Date Warrants and Enrollment Date Warrants were initially recorded at fair value of $152.7 million as these instruments were considered to be liability classified at issuance because the underlying preferred shares were redeemable, requiring the Company to settle the instruments in cash under certain conditions. The remaining gross proceeds of $22.3 million was allocated to the Series B Preferred Stock. The Company allocated the offering costs to each of the instruments utilizing the relative fair value method. As a result, total offering costs of $11.1 million were allocated, with $4.9 million allocated to the warrants and expensed in the period ending September 30, 2025 and $6.2 million allocated to the Series B Preferred Stock and treated as a reduction in proceeds.</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At the Company’s special meeting of stockholders held on September 26, 2025 (the “2025 Special Meeting”), the stockholders approved, among other things, the issuance of all shares of Common Stock issuable upon conversion of the Series B Preferred Stock. Following such approval, the Series B Preferred Stock automatically converted into the Conversion Shares subject to a conversion cap that limits the conversion of the Series B Preferred Stock such that a holder may not beneficially own more than 4.99% of the shares of Common Stock that would be issued and outstanding following such conversion. This resulted in 361,442 shares of Series B Preferred Stock converting into 36,144,200 shares of Common Stock.</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Series B Preferred Stock is entitled to receive dividends on an as-converted-to-common-stock basis when and if declared by the Board of Directors and converts to common stock at a ratio of one-for-one hundred, subject to certain potential adjustments. From the date of issuance until the requisite approval, the Series B Preferred Shares contained a redemption right that was outside of the Company’s control. Following the requisite approval, there is no liquidation preference or redemption rights and the shares are considered to be equity classified. After Requisite Approval at the option of the holder they can convert the Series B Preferred Stock shares to shares of the Company’s Common Stock subject to certain ownership limitations. Following stockholder approval, each share of Series B Preferred Stock, is convertible into Conversion Shares at a conversion price of $1.75 per share. For the three months ended March 31, 2026 there were 67,679 shares of Series B Preferred stock converted into 6,767,900 shares of common stock.</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Release Date and Enrollment Date Warrants provide for the purchase of up to 500,000 and 1,000,000 shares of Series B Preferred Stock, respectively. The Release Date Warrants and Enrollment Date Warrants have an exercise price of $218.75 and $175.00 per share, respectively. The Release Date Warrants have an expiration of the earlier of five years from the issuance date or the Phase II Release Date (as defined in the warrant). The Enrollment Warrants have an expiration date of the earlier of five years from the issuance date or the Phase II Enrollment Date (as defined in the warrant). There were 17,000 Enrollment Warrants exercised for 17,000 shares of Series B Preferred Stock during the three months ended March 31, 2026.</w:t>
      </w:r>
    </w:p>
    <w:p>
      <w:pPr>
        <w:spacing w:after="0" w:line="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Release Date and Enrollment Date Warrants were initially classified as liabilities because the underlying preferred shares were redeemable, requiring the Company to settle the instruments in cash under certain conditions. Upon receiving the requisite approval on September 26, 2025, the preferred stock was no longer redeemable, and the Release Date Warrants and Enrollment Date Warrants were reclassified from liabilities to stockholders’ equity.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regarding the Company’s outstanding warrants, refer to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2026 Public Offering</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17, 2026, the Company entered into an underwriting agreement (the “March 2026 Public Offering”) under which the Company agreed to issue and sell (i) 19,324,677 shares of the Company's common stock, par value $0.0001 per share (the "Firm Shares"), at a public offering price of $3.85 per share, and (ii) pre-funded warrants to purchase up to 2,753,246 shares of common stock (the “Pre-Funded Warrants”), at a public offering price of $3.8499 per Pre-Funded Warrant, which represents the per share public offering price for the Firm Shares less the $0.0001 per share exercise price of each Pre-Funded Warrant. The Company also granted the underwriters a 30-day option to purchase up to an additional 3,311,688 shares of common stock at the public offering price, less underwriting discounts and commissions (the “Optional Shares”). As of March 31, 2026, the underwriters partially exercised their option and purchased an additional 2,000,000 shares of common stock at the public offering price of $3.85 per share.</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received aggregate net proceeds from the offering, including the partial exercise of the underwriters’ option, of approximately $86.4 million, after deducting underwriting discounts and commissions and offering expenses payable by the Company. Issuance costs were allocated between the common stock and the pre-funded warrants on a relative fair value basis and charged to additional paid-in capital.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regarding the Company’s outstanding warrants, refer to Note 10, </w:t>
      </w:r>
      <w:r>
        <w:rPr>
          <w:rFonts w:ascii="Times New Roman" w:cs="Times New Roman" w:eastAsia="Times New Roman" w:hAnsi="Times New Roman"/>
          <w:sz w:val="18"/>
          <w:szCs w:val="18"/>
          <w:i w:val="1"/>
          <w:iCs w:val="1"/>
          <w:color w:val="auto"/>
        </w:rPr>
        <w:t>Warrants.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22, 2021 (the “Closing Date”), the Company consummated the business combination (the “Business Combination”) contemplated by the agreement and plan of merger, dated as of June 21, 2021, as amended on August 12, 2021, made by and among Big Cypress Acquisition Corp., a Delaware corporation (“BCYP”), Big Cypress Merger Sub Inc., a Delaware corporation (“Merger Sub”), the Company, and Shareholder Representative Services LLC, a Colorado limited liability company, solely in its capacity as the representative, agent and attorney-in-fact of the SAB Stockholders (the “Business Combination Agreement ”). Upon closing of the Business Combination, Merger Sub merged with SAB Biotherapeutics, with SAB Biotherapeutics as the surviving company of the merger. Upon closing of the Business Combination, BCYP changed its name to “SAB Biotherapeutics, Inc.”</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Additionally, the Business Combination Agreement included an earnout provision whereby the shareholders of SAB Biotherapeutics shall be entitled to receive additional consideration (“Earnout Shares”) if the Company meets certain Volume Weighted Average Price (“VWAP”) thresholds, or a change in control with a per share price exceeding the VWAP thresholds within a five-year period immediately following the Closing.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Earnout Shares shall be released in four equal increments as follows:</w:t>
      </w:r>
    </w:p>
    <w:p>
      <w:pPr>
        <w:spacing w:after="0" w:line="117" w:lineRule="exact"/>
        <w:rPr>
          <w:sz w:val="20"/>
          <w:szCs w:val="20"/>
          <w:color w:val="auto"/>
        </w:rPr>
      </w:pPr>
    </w:p>
    <w:p>
      <w:pPr>
        <w:ind w:left="1020" w:right="10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Earnout Shares shall be released if, at any time during the five (5)-year period immediately following the Closing Date, the VWAP of the Company’s publicly traded common stock is greater than or equal to $150.00 for any twenty (20) trading days within a period of thirty (30) consecutive trading days (the “First Earnout”).</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Earnout Shares shall be released if, at any time during the five (5)-year period immediately following the Closing Date, the VWAP of the Company’s publicly traded common stock is greater than or equal to $200.00 for any twenty (20) trading days within a period of thirty (30) consecutive trading days (the “Second Earnout”).</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Earnout Shares shall be released if, at any time during the five (5)-year period immediately following the Closing Date, the VWAP of the Company’s publicly traded common stock is greater than or equal to $250.00 for any twenty (20) trading days within a period of thirty (30) consecutive trading days (the “Third Earnout”).</w:t>
      </w:r>
    </w:p>
    <w:p>
      <w:pPr>
        <w:spacing w:after="0" w:line="6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Earnout Shares shall be released if, at any time during the five (5)-year period immediately following the Closing Date, the VWAP of the Company’s publicly traded common stock is greater than or equal to $300.00 for any twenty (20) trading days within a period of thirty (30) consecutive trading days (the “Fourth Earnout” and together with the First Earnout, the Second Earnout and the Third Earnout, the “Earnouts”).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SAB Biotherapeutics’ securityholders (including vested option holders) who own SAB Biotherapeutics securities immediately prior to the Closing Date will have the contingent right to receive their pro rata portion of (i) an aggregate of 1,200,000 Earnout Shares, of which 150,806 are contingently issuable based upon future satisfaction of the aforementioned VWAP thresholds. The remaining 1,049,194 are legally issued and outstanding, if the Company does not meet the above VWAP thresholds, or a change in control with a per share price below the VWAP thresholds occurs within a five-year period immediately following the Closing Date, the 1,049,194 shares will be returned to the Company.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Earnout Shares are indexed to the Company’s equity and meet the criteria for equity classification. On the Closing Date, the fair value of the 1,200,000 Earnout Shares was $101.3 million. The Company recorded the Earnout Shares as a stock dividend by reducing additional paid-in capital, which was offset by the increase in additional paid-in capital associated with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8" w:name="page19"/>
    <w:bookmarkEnd w:id="18"/>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29, 2025 the Company filed a Registration Statement on Form S-3 (Registration No. 333-292482) (the “Shelf Registration Statement”), declared effective on January 7, 2026 by the SEC, which includes a base prospectus that allows the Company to offer and sell, from time to time, in one or more offerings, common stock, preferred stock, debt securities, warrants, rights or units up to an aggregate public offering price of $300 million. The Shelf Registration Statement is intended to preserve the Company’s flexibility to raise capital from time to time, if and when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Option Plans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August 5, 2014, the Company approved a stock option grant plan (the “2014 Equity Incentive Plan”) for employees, directors, and non-employee consultants, which provides for the issuance of options to purchase common stock. As of March 31, 2026, there were 728,650 shares of common stock reserved for issuance under the 2014 Equity Incentive Plan, with 534,290 shares of common stock available for grant and 194,360 shares of common stock underlying outstanding grants.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adopted the 2021 Omnibus Equity Incentive Plan (as amended, the “2021 Equity Incentive Plan”, and collectively with the 2014 Equity Incentive Plan, the “Equity Compensation Plans”), which reserved 1,100,000 shares of common stock for issuance. At the beginning of each calendar year, the shares reserved for future issuance shall increase by two percent (2%) of the total number of shares of common stock issued and outstanding on a fully-diluted basis as of the end of the Company’s immediately preceding fiscal year (or such lesser number of shares, including no shares, determined by the Board in its sole discretion); provided, however, that the aggregate number of additional shares available for issuance pursuant to this paragraph (b) shall not exceed a total of 500,000 shares (the “Annual Increase”). In June 2024, the Company held the 2024 Annual Meeting of Stockholders (the “2024 Annual Meeting”). At the 2024 Annual Meeting, the stockholders of the Company approved an amendment to the 2021 Equity Incentive Plan which, among other things, increased the number of shares of common stock available for grant under the 2021 Equity Incentive Plan by 3,900,000 and increased the Annual Increase from 2% to 5% (the “2021 Plan Amendment”). At the 2025 Special Meeting, the stockholders of the Company approved an amendment to the 2021 Equity Incentive Plan which, among other things, increased the number of shares of common stock available for grant under the 2021 Equity Incentive Plan by 24,180,000 and increased the maximum number of additional shares available pursuant to the Annual Increase from 10,000,000 shares to 73,750,000 shares. As of March 31, 2026, there were 47,624,055 shares of common stock reserved for issuance under the 2021 Equity Incentive Plan, with 8,848,019 shares of common stock available for grant and 38,776,036 shares of common stock underlying outstanding grants.</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offers an Employee Stock Purchase Plan (“ESPP”) that allows eligible employees to purchase shares of common stock at a discount of up to 15% from the lower of the fair market value at the beginning or end of the offering period. Under ASC 718, the ESPP is classified as compensatory, and stock-based compensation expense is recognized for the fair value of the discount and any embedded option features. No shares were issued under the ESPP during either the three months ended March 31, 2026 and 2025, and no stock-based compensation expense was recognized. As of March 31, 2026, 100,000 shares remained available for future issuance.</w:t>
      </w:r>
    </w:p>
    <w:p>
      <w:pPr>
        <w:spacing w:after="0" w:line="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expected term of the stock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volatilities for industry peer companies, as the Company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Therefore, the Company has assumed no dividend yield for purposes of estimating the fair value of the options.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under the Equity Compensation Plans for the three months ended March 31, 2026,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6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left="9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(periods)</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20,887,772</w:t>
            </w:r>
          </w:p>
        </w:tc>
        <w:tc>
          <w:tcPr>
            <w:tcW w:w="2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18,643,100</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(522,997)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(8,855)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options, March 31, 2026</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38,959,937</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40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27,556,141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 March 31, 2026</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1,555,511</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8.65</w:t>
            </w:r>
          </w:p>
        </w:tc>
        <w:tc>
          <w:tcPr>
            <w:tcW w:w="13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7.19</w:t>
            </w:r>
          </w:p>
        </w:tc>
        <w:tc>
          <w:tcPr>
            <w:tcW w:w="40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506,292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5020" w:type="dxa"/>
            <w:vAlign w:val="bottom"/>
          </w:tcPr>
          <w:p>
            <w:pPr>
              <w:spacing w:after="0"/>
              <w:rPr>
                <w:sz w:val="24"/>
                <w:szCs w:val="24"/>
                <w:color w:val="auto"/>
              </w:rPr>
            </w:pPr>
          </w:p>
        </w:tc>
        <w:tc>
          <w:tcPr>
            <w:tcW w:w="16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-1242060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-916305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300"/>
        <w:spacing w:after="0" w:line="282" w:lineRule="auto"/>
        <w:rPr>
          <w:sz w:val="20"/>
          <w:szCs w:val="20"/>
          <w:color w:val="auto"/>
        </w:rPr>
      </w:pPr>
      <w:r>
        <w:rPr>
          <w:rFonts w:ascii="Times New Roman" w:cs="Times New Roman" w:eastAsia="Times New Roman" w:hAnsi="Times New Roman"/>
          <w:sz w:val="18"/>
          <w:szCs w:val="18"/>
          <w:color w:val="auto"/>
        </w:rPr>
        <w:t>Total unrecognized compensation cost related to non-vested stock options as of March 31, 2026, was approximately $97.4 million and is expected to be recognized within future operating results over a weighted-average period of 3.53 years.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months ended March 31, 2026, was $3.61 per share. During the three months ended March 31, 2026, 150,849 options vested with a fair value totaling $0.5 million.</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March 31, 2025. During the three months ended March 31, 2025, 281,812 options vested with a fair value totaling $1.1 million.</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estimated fair value of stock options granted to employees and consultants during the three months ended March 31, 2026 and 2025, were calculated using the Black-Scholes option-pricing model using the following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410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80" w:type="dxa"/>
            <w:vAlign w:val="bottom"/>
            <w:tcBorders>
              <w:bottom w:val="single" w:sz="8" w:color="auto"/>
            </w:tcBorders>
          </w:tcPr>
          <w:p>
            <w:pPr>
              <w:spacing w:after="0"/>
              <w:rPr>
                <w:sz w:val="15"/>
                <w:szCs w:val="15"/>
                <w:color w:val="auto"/>
              </w:rPr>
            </w:pPr>
          </w:p>
        </w:tc>
      </w:tr>
      <w:tr>
        <w:trPr>
          <w:trHeight w:val="142"/>
        </w:trPr>
        <w:tc>
          <w:tcPr>
            <w:tcW w:w="6460" w:type="dxa"/>
            <w:vAlign w:val="bottom"/>
          </w:tcPr>
          <w:p>
            <w:pPr>
              <w:spacing w:after="0"/>
              <w:rPr>
                <w:sz w:val="12"/>
                <w:szCs w:val="12"/>
                <w:color w:val="auto"/>
              </w:rPr>
            </w:pPr>
          </w:p>
        </w:tc>
        <w:tc>
          <w:tcPr>
            <w:tcW w:w="18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90.7 - 102.0  %</w:t>
            </w:r>
          </w:p>
        </w:tc>
        <w:tc>
          <w:tcPr>
            <w:tcW w:w="176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periods)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6.00 - 6.08</w:t>
            </w:r>
          </w:p>
        </w:tc>
        <w:tc>
          <w:tcPr>
            <w:tcW w:w="500" w:type="dxa"/>
            <w:vAlign w:val="bottom"/>
          </w:tcPr>
          <w:p>
            <w:pPr>
              <w:spacing w:after="0"/>
              <w:rPr>
                <w:sz w:val="18"/>
                <w:szCs w:val="18"/>
                <w:color w:val="auto"/>
              </w:rPr>
            </w:pPr>
          </w:p>
        </w:tc>
        <w:tc>
          <w:tcPr>
            <w:tcW w:w="176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3.81 - 3.94</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 options were granted during the three months ended March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award activity for employees and non-employees under the Equity Compensation Plans for the three months ended March 31, 2026,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38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March 31, 2026, the Company had an aggregate of $0.1 million of unrecognized equity-based compensation related to restricted stock units (“RSUs”) outstanding. During the three months ended March 31, 2026, a total of 4,180 RSUs vested. The aggregate fair value of RSUs vested during the three-month period was approximately $48 thousand. Of the 4,180 RSUs issued, 1,163 units were withheld and returned to the Company in satisfaction of employee payroll withholding tax obligations. For the three months ended March 31, 2026, the Company issued a net total of 3,017 RSUs. The unrecognized expense for restricted stock units is expected to be recognized within future operating results over a weighted average period of 0.76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the three months ended March 31, 2026 and 2025,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7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FF0FC"/>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2,861,910</w:t>
            </w:r>
          </w:p>
        </w:tc>
        <w:tc>
          <w:tcPr>
            <w:tcW w:w="1700" w:type="dxa"/>
            <w:vAlign w:val="bottom"/>
            <w:gridSpan w:val="2"/>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332,289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2,598,001</w:t>
            </w:r>
          </w:p>
        </w:tc>
        <w:tc>
          <w:tcPr>
            <w:tcW w:w="3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280,662</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shd w:val="clear" w:color="auto" w:fill="CFF0FC"/>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5,459,911</w:t>
            </w:r>
          </w:p>
        </w:tc>
        <w:tc>
          <w:tcPr>
            <w:tcW w:w="1700" w:type="dxa"/>
            <w:vAlign w:val="bottom"/>
            <w:gridSpan w:val="2"/>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612,951</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share of the Company's common stock at a price of $115.00 per share, subject to adjustment as discussed herein.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call the warrants for redemption: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 if, and only if, the reported last sale price of the common stock equals or exceeds $180.00 per share (as adjusted for stock splits, stock dividends, reorganizations, recapitalizations and the like) for any 20 trading days within a 30-trading day period ending three business days before the Company sends the notice of redemption to the warrant holders.</w:t>
      </w:r>
    </w:p>
    <w:p>
      <w:pPr>
        <w:spacing w:after="0" w:line="1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any holder that wishes to exercise its warrant to do so on a “cashless basis.” If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over the exercise price of the warrants by (y) the fair market value. The “fair market value” shall mean the average reported last sale price of the common stock for the 10 trading days ending on the third trading day prior to the date on which the notice of redemption is sent to the holders of warrants.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warrant will expire on the fifth anniversary of the Business Combination, which occurred on October 22, 2021. As a result, all outstanding warrants will expire on October 22, 2026, unless earlier exercised or redeemed in accordance with their terms. Once expired, the warrants will have no further value and will no longer be exercisable.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Private Placement Warrants and the common stock issuable upon the exercise of the Private Placement Warrants were not transferable, assignable or saleable until after the completion of the Company's merger transaction in 2021. Additionally, the Private Placement Warrants are exercisable on a cashless basis and will be non-redeemable as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warrant will expire on the fifth anniversary of the Business Combination, which occurred on October 22, 2021. As a result, all outstanding warrants will expire on October 22, 2026, unless earlier exercised or redeemed in accordance with their terms. Once expired, the warrants will have no further value and will no longer be exercisable.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Warrants and PIPE Placement Agent Warrants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December 2022, the Company entered into a securities purchase agreement with certain institutional and accredited investors for the sale by the Company of 736,337 shares of common stock and the PIPE Warrants to purchase up to 736,337 shares of common stock, in a private placement offering. The combined purchase price of each share and accompanying PIPE Warrant was $10.80 (the “December 2022 Private Placement”). Three directors of the Company participated in the December 2022 Private Placement, each paying a $1.25 premium per share and accompanying PIPE Warrant. The PIPE Warrants, including those purchased by the participating directors of the Company, are exercisable at an exercise price equal to $10.80 per share, and are exercisable for five years from the date of issuance. The Company received gross proceeds of approximately $8.0 million before deducting transaction related fees and expenses. The Company paid Brookline Capital Markets, the placement agent, a cash fee equal to seven percent of the gross proceeds received by the Company in the December 2022 Private Placement. The Company also issued Brookline Capital Markets the PIPE Placement Agent Warrants to purchase up to an aggregate of 21,091 shares of common stock, equal to 7% of the number of shares purchased by investors introduced to the Company by Brookline Capital Markets. The PIPE Placement Agent Warrants have an exercise price equal to $13.50 per share and are exercisable six months from the date of issuance and expire five years from the date of issuance.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Ladenburg Agreement Warrants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21, 2023, the Company entered into a settlement agreement with Ladenburg Thalmann &amp; Co. Inc. (“Ladenburg”), effective March 23, 2023 (the “2023 Ladenburg Agreement”, regarding the action brought by Ladenburg, the “Ladenburg Action”). In connection with the 2023 Ladenburg Agreement, on March 24, 2023, the Company (i) issued the Ladenburg Warrants to purchase up to 30,000 shares of common stock, exercisable for three years from the date of issuance at $5.424 per share; and (ii) furnished to Ladenburg a one-time cash payment of $500 thousand. Pursuant to the terms and subject to the conditions set forth in the 2023 Ladenburg Agreement, the Company will (i) no later than June 30, 2023, pay $1.5 million to Ladenburg in cash or shares of common stock, at the Company’s option; and (ii) no later than December 31, 2023, pay $1.1 million to Ladenburg in cash or shares of common stock, at the Company’s option. Following the completion of the Company’s obligations under the 2023 Ladenburg Agreement, Ladenburg has agreed to dismiss the Ladenburg Action with prejudice and extinguish any and all obligations of the Company in connection therewith. On June 30, 2023, in accord with the terms of the agreement, the Company issued 191,689 shares of common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140"/>
        <w:spacing w:after="0" w:line="282" w:lineRule="auto"/>
        <w:rPr>
          <w:sz w:val="20"/>
          <w:szCs w:val="20"/>
          <w:color w:val="auto"/>
        </w:rPr>
      </w:pPr>
      <w:r>
        <w:rPr>
          <w:rFonts w:ascii="Times New Roman" w:cs="Times New Roman" w:eastAsia="Times New Roman" w:hAnsi="Times New Roman"/>
          <w:sz w:val="18"/>
          <w:szCs w:val="18"/>
          <w:color w:val="auto"/>
        </w:rPr>
        <w:t>stock to satisfy a portion of its obligations under the 2023 Ladenburg Agreement. Following the completion of the 2023 Private Placement, the Company settled the remaining $1.1 million due to Ladenburg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2023 Purchase Agreement Warrants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outstanding 107,115 Preferred Tranche C Warrants to purchase shares of Series A-3 Preferred Stock having an aggregate exercise price of approximately $107.1 million.</w:t>
      </w:r>
    </w:p>
    <w:p>
      <w:pPr>
        <w:spacing w:after="0" w:line="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Preferred Tranche C Warrants were classified as derivative liabilities because they are redeemable for cash upon occurrence of a Fundamental Transaction, (as defined in the Forms for such warrants), which may be outside the control of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see Note 8, </w:t>
      </w:r>
      <w:r>
        <w:rPr>
          <w:rFonts w:ascii="Times New Roman" w:cs="Times New Roman" w:eastAsia="Times New Roman" w:hAnsi="Times New Roman"/>
          <w:sz w:val="18"/>
          <w:szCs w:val="18"/>
          <w:i w:val="1"/>
          <w:iCs w:val="1"/>
          <w:color w:val="auto"/>
        </w:rPr>
        <w:t>Stockholders’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PIPE Placement Agent Warrant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November 21, 2023, the Company issued to Chardan Capital Markets LLC, the placement agent for the September 2023 Offering, a warrant to purchase 850,119 shares (</w:t>
      </w:r>
      <w:r>
        <w:rPr>
          <w:rFonts w:ascii="Times New Roman" w:cs="Times New Roman" w:eastAsia="Times New Roman" w:hAnsi="Times New Roman"/>
          <w:sz w:val="18"/>
          <w:szCs w:val="18"/>
          <w:color w:val="231F20"/>
        </w:rPr>
        <w:t>as adjusted following the Reverse Stock Split)</w:t>
      </w:r>
      <w:r>
        <w:rPr>
          <w:rFonts w:ascii="Times New Roman" w:cs="Times New Roman" w:eastAsia="Times New Roman" w:hAnsi="Times New Roman"/>
          <w:sz w:val="18"/>
          <w:szCs w:val="18"/>
          <w:color w:val="auto"/>
        </w:rPr>
        <w:t xml:space="preserve"> of the Company’s common stock (“the Preferred PIPE Placement Agent Warrants”). The Preferred PIPE Placement Agent Warrants have an exercise price equal to $6.30 per share (subject to adjustment for stock dividends and splits) and are exercisable in whole or in part, at any time or times on or after the issuance date and on or before October 2, 2028. The Preferred PIPE Placement Agent Warrant was classified in equity in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PIPE Series B Warrants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21, 2025, the Company issued the Release Date Warrants and Enrollment Date Warrants to various investors as part of the Series B Offering. The Release Date Warrants and Enrollment Date Warrants provide for the purchase of up to 500,000 and 1,000,000 shares of Series B Preferred Stock, respectively. The Release Date Warrants and Enrollment Date warrants have an exercise price of $218.75 and $175.00 per share, respectively. The Release Date Warrants have an expiration of the earlier of five years from the issuance date or the Phase II Release Date. The Enrollment Warrants have an expiration date of the earlier of five years from the issuance date or the Phase II Enrollment Date.</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Release Date Warrants and Enrollment Date Warrants were initially classified as liabilities because the underlying preferred shares were redeemable, requiring the Company to settle the instruments in cash under certain conditions; however, upon receiving the requisite approval on September 26, 2025, the preferred stock was no longer redeemable, and the Release Date Warrants and Enrollment Date Warrants were reclassified from liabilities to stockholders’ equity. There were 17,000 Enrollment Warrants exercised during the three months ended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80" w:lineRule="exact"/>
        <w:rPr>
          <w:sz w:val="20"/>
          <w:szCs w:val="20"/>
          <w:color w:val="auto"/>
        </w:rPr>
      </w:pPr>
    </w:p>
    <w:p>
      <w:pPr>
        <w:ind w:right="60"/>
        <w:spacing w:after="0" w:line="231" w:lineRule="exact"/>
        <w:rPr>
          <w:sz w:val="20"/>
          <w:szCs w:val="20"/>
          <w:color w:val="auto"/>
        </w:rPr>
      </w:pPr>
      <w:r>
        <w:rPr>
          <w:rFonts w:ascii="Times New Roman" w:cs="Times New Roman" w:eastAsia="Times New Roman" w:hAnsi="Times New Roman"/>
          <w:sz w:val="18"/>
          <w:szCs w:val="18"/>
          <w:color w:val="auto"/>
        </w:rPr>
        <w:t>In March 2026, the Company issued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up to 2,753,246 shares of common stock at a public offering price of $3.8499 per warrant, which represents the public offering price of $3.85 per share of common stock less the $0.0001 exercise price per share. The pre-funded warrants are indexed to the Company’s common stock and meet all other conditions for equity classification. The pre-funded warrants were classified as equity and accounted for as a component of additional-paid-in capital at the time of issuance.</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three months ended March 31, 2026 and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Issued</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Equity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PIPE Placement Agent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PIPE Placement Agent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Ladenburg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PIPE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736,337</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Pre-Funded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2,753,246</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Liability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Business Combination Public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Equity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PIPE Series B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(17,000)</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Liability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Tranche C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107,115</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56"/>
        </w:trPr>
        <w:tc>
          <w:tcPr>
            <w:tcW w:w="43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Issued</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Equity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PIPE Placement Agent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PIPE Placement Agent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Ladenburg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PIPE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736,337</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Liability Classified</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Combination Public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Equity Classified</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PIPE Series B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Liability Classified</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Tranche B Warrants (1)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(42,846)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Tranche C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107,115</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right="20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2025, 42,846 Preferred Tranche B Warrants expired, unexercised. The Company recognized a gain of $3 thousand in other income in our condensed consolidated statement of operations, representing the fair value of the warrants at expiration. The valuation as of December 31, 2024, was based on a risk-free interest rate of 3.93%, an expected remaining term of 0.23 periods, implied volatility of 75%, and an underlying stock price of $309.37.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and Valuation of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 and Private Placement Warrants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Public Warrants and Private Placement Warrants are accounted for as liabilities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and were presented within warrant liabilities on the condensed consolidated balance sheets as of March 31, 2026 and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initial fair value of the warrant liabilities was measured at fair value at the Closing Date, and changes in the fair value of the warrant liabilities were presented within changes in fair value of warrant liabilities in the condensed consolidated statements of operations and comprehensive loss for three months ended March 31, 2026 and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60"/>
        <w:spacing w:after="0" w:line="261" w:lineRule="auto"/>
        <w:rPr>
          <w:sz w:val="20"/>
          <w:szCs w:val="20"/>
          <w:color w:val="auto"/>
        </w:rPr>
      </w:pPr>
      <w:r>
        <w:rPr>
          <w:rFonts w:ascii="Times New Roman" w:cs="Times New Roman" w:eastAsia="Times New Roman" w:hAnsi="Times New Roman"/>
          <w:sz w:val="18"/>
          <w:szCs w:val="18"/>
          <w:color w:val="auto"/>
        </w:rPr>
        <w:t>On the Closing Date, the Company established the fair value of the Private Placement Warrants utilizing both the Black-Scholes Merton formula and a Monte Carlo Simulation (the “MCS”) analysis. Specifically, the Company considered an MCS to derive the implied volatility in the publicly-listed price of the Public Warrants. The Company then considered this implied volatility in selecting the volatility for the application of a Black-Scholes Merton model for the Private Placement Warrants. The Company determined the fair value of the Public Warrants by reference to the quoted market price.</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Public Warrants were classified as a Level 1 fair value measurement, due to the use of the quoted market price, and the Private Placement Warrants held privately by assignees of Big Cypress Holdings LLC, were classified as a Level 3 fair value measurement, due to the use of unobservable inputs. See Note 11,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changes in fair value of the Private Placement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into the valuations as of March 31, 2026 and December 31, 2025,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340" w:type="dxa"/>
            <w:vAlign w:val="bottom"/>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80" w:type="dxa"/>
            <w:vAlign w:val="bottom"/>
          </w:tcPr>
          <w:p>
            <w:pPr>
              <w:spacing w:after="0"/>
              <w:rPr>
                <w:sz w:val="15"/>
                <w:szCs w:val="15"/>
                <w:color w:val="auto"/>
              </w:rPr>
            </w:pPr>
          </w:p>
        </w:tc>
        <w:tc>
          <w:tcPr>
            <w:tcW w:w="13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remaining (periods)</w:t>
            </w:r>
          </w:p>
        </w:tc>
        <w:tc>
          <w:tcPr>
            <w:tcW w:w="1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8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Implied volatility</w:t>
            </w:r>
          </w:p>
        </w:tc>
        <w:tc>
          <w:tcPr>
            <w:tcW w:w="13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200.4%</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Closing common stock price on the measurement date</w:t>
            </w:r>
          </w:p>
        </w:tc>
        <w:tc>
          <w:tcPr>
            <w:tcW w:w="1340" w:type="dxa"/>
            <w:vAlign w:val="bottom"/>
          </w:tcPr>
          <w:p>
            <w:pPr>
              <w:jc w:val="right"/>
              <w:ind w:right="118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Warrants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Should the Company enter into or be party to a fundamental transaction, the Company will be required to purchase all outstanding Warrants from the holders by paying cash in an amount equal to the Black Scholes Value of the unexercised portion of each Series A Preferred Warrant. As a result, the Series A Preferred Warrants are accounted for as derivative liabilities in accordance with ASC 480 and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and were presented within warrant liabilities on the condensed consolidated balance sheets as of March 31, 2026 and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initial fair value of the warrant liabilities was measured at fair value at the Closing Date, and changes in the fair value of the warrant liabilities were presented within changes in fair value of warrant liabilities in the condensed consolidated statements of operations and comprehensive loss for the three months ended March 31, 2026 and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established the fair value of the Preferred Warrants utilizing the Black-Scholes Merton formula.</w:t>
      </w:r>
    </w:p>
    <w:p>
      <w:pPr>
        <w:spacing w:after="0" w:line="11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All tranches of the Preferred Warrants were classified as Level 3 fair value measurements, due to the use of unobservable inputs. See Note 11,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for changes in fair value of the Preferred Warrants.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utilized in determining the fair value of each Preferred Tranche C Warrant as of March 31, 2026 and December 31, 2025,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320" w:type="dxa"/>
            <w:vAlign w:val="bottom"/>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Risk-free interest rate (1)</w:t>
            </w:r>
          </w:p>
        </w:tc>
        <w:tc>
          <w:tcPr>
            <w:tcW w:w="13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remaining (periods) (1)</w:t>
            </w:r>
          </w:p>
        </w:tc>
        <w:tc>
          <w:tcPr>
            <w:tcW w:w="1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Implied volatility</w:t>
            </w:r>
          </w:p>
        </w:tc>
        <w:tc>
          <w:tcPr>
            <w:tcW w:w="1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Underlying Stock Price (Preferred Series A)</w:t>
            </w:r>
          </w:p>
        </w:tc>
        <w:tc>
          <w:tcPr>
            <w:tcW w:w="1320" w:type="dxa"/>
            <w:vAlign w:val="bottom"/>
            <w:shd w:val="clear" w:color="auto" w:fill="CFF0FC"/>
          </w:tcPr>
          <w:p>
            <w:pPr>
              <w:jc w:val="right"/>
              <w:ind w:right="116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312.29</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304.95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right="8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probability-weighted input derived from multiple Black-Scholes calculations. These calculations incorporate the Company’s estimated probability of dissolution, should SABS’ intellectual property fail to yield positive results in forthcoming clinical trials, potentially leading to dissolution before 2028. The probability was 47.5% as of March 31, 2026 and December 31, 2025.</w:t>
      </w:r>
    </w:p>
    <w:p>
      <w:pPr>
        <w:spacing w:after="0" w:line="17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that would be used to measure fair value into one of three levels: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117"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at March 31, 2026 and December 31, 2025, and indicate the fair value hierarchy of the valuation inputs the Company utilized to determine such fair value: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34"/>
              <w:spacing w:after="0" w:line="188" w:lineRule="exact"/>
              <w:rPr>
                <w:sz w:val="20"/>
                <w:szCs w:val="20"/>
                <w:color w:val="auto"/>
              </w:rPr>
            </w:pPr>
            <w:r>
              <w:rPr>
                <w:rFonts w:ascii="Times New Roman" w:cs="Times New Roman" w:eastAsia="Times New Roman" w:hAnsi="Times New Roman"/>
                <w:sz w:val="18"/>
                <w:szCs w:val="18"/>
                <w:b w:val="1"/>
                <w:bCs w:val="1"/>
                <w:color w:val="auto"/>
              </w:rPr>
              <w:t>Quoted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3"/>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33"/>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15,895,107</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15,895,107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3,689,533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3,689,533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11,415,357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11,415,357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75,456,500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75,456,500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110,235,540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110,235,540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Public Warrant liability</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150,074</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150,074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Tranche C Preferred Warrants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5,962,067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9,128,243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9,128,243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59,129,609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59,129,609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24,027,260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24,027,260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2,932,910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2,932,910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42,783,989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42,783,989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4,108,893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4,108,893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 Warrant liability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C Preferred Warrants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5,449,204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Level 3 fair value measurements for the Private Placement Warrant liability: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486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 liability</w:t>
            </w:r>
          </w:p>
        </w:tc>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w:t>
            </w: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38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900" w:type="dxa"/>
            <w:vAlign w:val="bottom"/>
          </w:tcPr>
          <w:p>
            <w:pPr>
              <w:spacing w:after="0"/>
              <w:rPr>
                <w:sz w:val="24"/>
                <w:szCs w:val="24"/>
                <w:color w:val="auto"/>
              </w:rPr>
            </w:pPr>
          </w:p>
        </w:tc>
        <w:tc>
          <w:tcPr>
            <w:tcW w:w="386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Level 3 fair value measurements for the Preferred Warrant liabilities: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324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5,449,204</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the Preferred Warrant liabilities</w:t>
            </w:r>
          </w:p>
        </w:tc>
        <w:tc>
          <w:tcPr>
            <w:tcW w:w="23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512,863</w:t>
            </w:r>
          </w:p>
        </w:tc>
        <w:tc>
          <w:tcPr>
            <w:tcW w:w="100" w:type="dxa"/>
            <w:vAlign w:val="bottom"/>
          </w:tcPr>
          <w:p>
            <w:pPr>
              <w:spacing w:after="0"/>
              <w:rPr>
                <w:sz w:val="18"/>
                <w:szCs w:val="18"/>
                <w:color w:val="auto"/>
              </w:rPr>
            </w:pPr>
          </w:p>
        </w:tc>
      </w:tr>
      <w:tr>
        <w:trPr>
          <w:trHeight w:val="249"/>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23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5,962,067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did not have any other assets or liabilities that are recorded at fair value on a recurring basis.</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believes that the carrying amounts of its cash and cash equivalents, accrued interest receivable, notes payable, accounts payable, accrued expenses and other current liabilities approximate their fair values due to their near-term maturities.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Debt Securities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March 31, 2026, the fair value and amortized cost of the Company’s available-for-sale debt securities, summarized by type of security,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w:t>
            </w: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75,470,377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(32,219)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75,456,500</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110,582,343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(381,712)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110,235,540</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At December 31, 2025, the fair value and amortized cost of the Company’s available-for-sale debt securities, summarized by type of security,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w:t>
            </w: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23,993,821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24,027,260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2,923,265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2,932,910</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26,917,086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26,960,170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42,651,824</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(11,058)</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42,783,989</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4,098,031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4,108,893</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46,749,855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154,921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(11,894)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46,892,882</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by maturity or next repricing date of investment securities at March 31, 2026 are shown in the following table. Fixed rate securities are classified according to their contractual maturities without consideration of principal amortization, potential prepayments or call options. Accordingly, actual maturities may differ from contractual maturities.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Within one year or less</w:t>
            </w:r>
          </w:p>
        </w:tc>
        <w:tc>
          <w:tcPr>
            <w:tcW w:w="2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75,470,377</w:t>
            </w:r>
          </w:p>
        </w:tc>
        <w:tc>
          <w:tcPr>
            <w:tcW w:w="8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75,456,500</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One through five years</w:t>
            </w:r>
          </w:p>
        </w:tc>
        <w:tc>
          <w:tcPr>
            <w:tcW w:w="2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110,582,343</w:t>
            </w: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110,235,540</w:t>
            </w:r>
          </w:p>
        </w:tc>
        <w:tc>
          <w:tcPr>
            <w:tcW w:w="100" w:type="dxa"/>
            <w:vAlign w:val="bottom"/>
          </w:tcPr>
          <w:p>
            <w:pPr>
              <w:spacing w:after="0"/>
              <w:rPr>
                <w:sz w:val="18"/>
                <w:szCs w:val="18"/>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186,052,720</w:t>
            </w:r>
          </w:p>
        </w:tc>
        <w:tc>
          <w:tcPr>
            <w:tcW w:w="8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185,692,040</w:t>
            </w:r>
          </w:p>
        </w:tc>
        <w:tc>
          <w:tcPr>
            <w:tcW w:w="100" w:type="dxa"/>
            <w:vAlign w:val="bottom"/>
            <w:shd w:val="clear" w:color="auto" w:fill="CFF0FC"/>
          </w:tcPr>
          <w:p>
            <w:pPr>
              <w:spacing w:after="0"/>
              <w:rPr>
                <w:sz w:val="19"/>
                <w:szCs w:val="19"/>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2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The following table shows gross unrealized losses and fair values of available-for-sale securities for which an allowance for credit losses has not been recorded, aggregated by investment category and length of time that individual securities have been in a continuous loss position as of March 31, 2026:</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3080" w:type="dxa"/>
            <w:vAlign w:val="bottom"/>
            <w:tcBorders>
              <w:bottom w:val="single" w:sz="8" w:color="auto"/>
            </w:tcBorders>
            <w:gridSpan w:val="7"/>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Unrealized losses less than 12 months</w:t>
            </w:r>
          </w:p>
        </w:tc>
        <w:tc>
          <w:tcPr>
            <w:tcW w:w="220" w:type="dxa"/>
            <w:vAlign w:val="bottom"/>
          </w:tcPr>
          <w:p>
            <w:pPr>
              <w:spacing w:after="0"/>
              <w:rPr>
                <w:sz w:val="15"/>
                <w:szCs w:val="15"/>
                <w:color w:val="auto"/>
              </w:rPr>
            </w:pPr>
          </w:p>
        </w:tc>
        <w:tc>
          <w:tcPr>
            <w:tcW w:w="290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Unrealized losses 12 months or greater</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6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19"/>
        </w:trPr>
        <w:tc>
          <w:tcPr>
            <w:tcW w:w="13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Available-for-sale</w:t>
            </w:r>
          </w:p>
        </w:tc>
        <w:tc>
          <w:tcPr>
            <w:tcW w:w="8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securities:</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U.S. treasury</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34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115,840,233</w:t>
            </w:r>
          </w:p>
        </w:tc>
        <w:tc>
          <w:tcPr>
            <w:tcW w:w="36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413,931</w:t>
            </w:r>
          </w:p>
        </w:tc>
        <w:tc>
          <w:tcPr>
            <w:tcW w:w="220" w:type="dxa"/>
            <w:vAlign w:val="bottom"/>
          </w:tcPr>
          <w:p>
            <w:pPr>
              <w:spacing w:after="0"/>
              <w:rPr>
                <w:sz w:val="10"/>
                <w:szCs w:val="10"/>
                <w:color w:val="auto"/>
              </w:rPr>
            </w:pPr>
          </w:p>
        </w:tc>
        <w:tc>
          <w:tcPr>
            <w:tcW w:w="8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3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115,840,233</w:t>
            </w:r>
          </w:p>
        </w:tc>
        <w:tc>
          <w:tcPr>
            <w:tcW w:w="3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413,931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w:t>
            </w:r>
          </w:p>
        </w:tc>
        <w:tc>
          <w:tcPr>
            <w:tcW w:w="88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115,840,233</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413,931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ind w:left="7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ind w:left="6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115,840,233</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413,931</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-127635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-127635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-127635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-127635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-127635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-127635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-127635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-127635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shows gross unrealized losses and fair values of available-for-sale securities for which an allowance for credit losses has not been recorded, aggregated by investment category and length of time that individual securities have been in a continuous loss position as of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140" w:type="dxa"/>
            <w:vAlign w:val="bottom"/>
            <w:tcBorders>
              <w:bottom w:val="single" w:sz="8" w:color="auto"/>
            </w:tcBorders>
            <w:gridSpan w:val="7"/>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Unrealized losses less than 12 months</w:t>
            </w:r>
          </w:p>
        </w:tc>
        <w:tc>
          <w:tcPr>
            <w:tcW w:w="200" w:type="dxa"/>
            <w:vAlign w:val="bottom"/>
          </w:tcPr>
          <w:p>
            <w:pPr>
              <w:spacing w:after="0"/>
              <w:rPr>
                <w:sz w:val="15"/>
                <w:szCs w:val="15"/>
                <w:color w:val="auto"/>
              </w:rPr>
            </w:pPr>
          </w:p>
        </w:tc>
        <w:tc>
          <w:tcPr>
            <w:tcW w:w="29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Unrealized losses 12 months or greater</w:t>
            </w: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19"/>
        </w:trPr>
        <w:tc>
          <w:tcPr>
            <w:tcW w:w="11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Available-for-</w:t>
            </w:r>
          </w:p>
        </w:tc>
        <w:tc>
          <w:tcPr>
            <w:tcW w:w="7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 securities:</w:t>
            </w: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U.S. treasury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7,802,140</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11,058</w:t>
            </w:r>
          </w:p>
        </w:tc>
        <w:tc>
          <w:tcPr>
            <w:tcW w:w="200" w:type="dxa"/>
            <w:vAlign w:val="bottom"/>
          </w:tcPr>
          <w:p>
            <w:pPr>
              <w:spacing w:after="0"/>
              <w:rPr>
                <w:sz w:val="10"/>
                <w:szCs w:val="10"/>
                <w:color w:val="auto"/>
              </w:rPr>
            </w:pPr>
          </w:p>
        </w:tc>
        <w:tc>
          <w:tcPr>
            <w:tcW w:w="8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7,802,140</w:t>
            </w:r>
          </w:p>
        </w:tc>
        <w:tc>
          <w:tcPr>
            <w:tcW w:w="3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78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Corporate Bonds</w:t>
            </w: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771,767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2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ind w:left="8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771,767</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8,573,907</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11,926</w:t>
            </w:r>
          </w:p>
        </w:tc>
        <w:tc>
          <w:tcPr>
            <w:tcW w:w="200" w:type="dxa"/>
            <w:vAlign w:val="bottom"/>
          </w:tcPr>
          <w:p>
            <w:pPr>
              <w:spacing w:after="0"/>
              <w:rPr>
                <w:sz w:val="12"/>
                <w:szCs w:val="12"/>
                <w:color w:val="auto"/>
              </w:rPr>
            </w:pPr>
          </w:p>
        </w:tc>
        <w:tc>
          <w:tcPr>
            <w:tcW w:w="880" w:type="dxa"/>
            <w:vAlign w:val="bottom"/>
          </w:tcPr>
          <w:p>
            <w:pPr>
              <w:ind w:left="7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8,573,907</w:t>
            </w:r>
          </w:p>
        </w:tc>
        <w:tc>
          <w:tcPr>
            <w:tcW w:w="3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11,926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-128270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-128270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-128270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-128270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-128270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-128270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-128270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-128270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unrealized losses on the Company’s available-for-sale debt securities as of March 31, 2026 and December 31, 2025 were caused by fluctuations in market value and interest rates as a result of the economic environment. The Company concluded that an allowance for credit losses was unnecessary as of March 31, 2026 and December 31, 2025 because the decline in the market value was attributable to changes in market conditions and not credit quality, and that it is neither management’s intention to sell nor is it more likely than not that the Company will be required to sell these investments prior to recovery.</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Gross realized gains and losses on the sale of short-term and long-term investments are included in other income in the Company’s condensed consolidated statements of operations and comprehensive loss. Net realized gains for the three months ended March 31, 2026, include $47 thousand reclassified from accumulated comprehensive income (loss), representing unrealized gains previously recognized in other comprehensive income that were realized upon the sale of available-for-sale debt securities. The following table summarizes the Company’s gross realized gains and losses on the sale of available-for-sale debt securities: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358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122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22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49,652</w:t>
            </w: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220" w:type="dxa"/>
            <w:vAlign w:val="bottom"/>
            <w:tcBorders>
              <w:top w:val="single" w:sz="8" w:color="auto"/>
              <w:bottom w:val="single" w:sz="8" w:color="auto"/>
            </w:tcBorders>
            <w:shd w:val="clear" w:color="auto" w:fill="CFF0FC"/>
          </w:tcPr>
          <w:p>
            <w:pPr>
              <w:jc w:val="right"/>
              <w:ind w:right="10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47,089</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the above investment securities was $1.6 million and $0.9 million at March 31, 2026 and December 31, 2025, respectively, and is included within accrued interest receivable on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holds investments in mutual funds that are classified as equity securities, primarily representing diversified portfolios of publicly traded equity instruments managed by third-party investment advisors. As of March 31, 2026 and December 31, 2025, the Company had $11.4 million and $59.1 million, respectively, of equity securities included within short-term investments on the condensed consolidated balance sheets. The following is a summary of unrealized and realized gains (losses) recognized on equity securities included in other income (expense) in the condensed consolidated statements of operations and comprehensive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5"/>
        </w:trPr>
        <w:tc>
          <w:tcPr>
            <w:tcW w:w="6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gains (losses) recognized during the period</w:t>
            </w:r>
          </w:p>
        </w:tc>
        <w:tc>
          <w:tcPr>
            <w:tcW w:w="1520" w:type="dxa"/>
            <w:vAlign w:val="bottom"/>
            <w:gridSpan w:val="2"/>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(9,587)</w:t>
            </w:r>
          </w:p>
        </w:tc>
        <w:tc>
          <w:tcPr>
            <w:tcW w:w="1360" w:type="dxa"/>
            <w:vAlign w:val="bottom"/>
            <w:shd w:val="clear" w:color="auto" w:fill="CFF0FC"/>
          </w:tcPr>
          <w:p>
            <w:pPr>
              <w:jc w:val="right"/>
              <w:ind w:right="11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Realized net gains (losses) recognized on equity securities sold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(6,934)</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net gains (losses) recognized on equity securities held</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(12,136)</w:t>
            </w:r>
          </w:p>
        </w:tc>
        <w:tc>
          <w:tcPr>
            <w:tcW w:w="1360" w:type="dxa"/>
            <w:vAlign w:val="bottom"/>
            <w:shd w:val="clear" w:color="auto" w:fill="CFF0FC"/>
          </w:tcPr>
          <w:p>
            <w:pPr>
              <w:jc w:val="right"/>
              <w:ind w:right="11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current and prior year losses the Company does not expect to have any Income Tax Provision.</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continues to record a valuation allowance on its net deferred tax assets. The valuation increased by approximately $4.0 million during the three months ended March 31, 2026. The Company has not recognized any reserves for uncertain tax positions.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sponsors a defined contribution retirement plan. All the Company’s employees are eligible to be enrolled in the employer-sponsored contributory retirement savings plan, which include features under Section 401(k) of the Internal Revenue Code of 1986, as amended, and provides for Company matching contributions. The Company’s contributions to the plan are determined by its Board of Directors, subject to certain minimum requirements specified in the plan. The Company has historically made matching contributions of 100% on 3% of the employee contributions, with an additional 50% match on the next 2% of employee contributions. The Company made contributions of approximately $0.2 million during the three months ended March 31, 2026, and $0.1 million, during the three months ended March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litigation, and, to its best knowledge, no action, suit, or proceeding has been threatened against the Company which are expected to have a material adverse effect on its financial condition,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Fortrea Inc.</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October 2024, the Company entered into a clinical master services agreement and work orders with Fortrea Holdings Inc. (“Fortrea”) to act as the contract research organization (“CRO”) overseeing the Company’s Phase 2b efficacy and safety study for SAB-142. Approximately $2.4 million and $0.8 million was expensed with respect to the Fortrea agreements during the period ended March 31, 2026 and 2025, respectively, which amounts are included in research and development expenses in the accompanying consolidated statements of operations and comprehensive loss. The Company expects to make ongoing payments to Fortrea over the next 12 to 18 months in connection with services provided by Fortrea, as well as clinical trial site and other pass-through costs relating to the Phase 2b efficacy and safety study for SAB-142.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Operating segments are defined as components of the entity for which separate financial information is made available and that is regularly evaluated by the chief operating decision maker (CODM) in making decisions regarding resource allocation and assessing performance. The Company's CODM is its chief executive officer and the Company manages its operations as a single segment for the purposes of assessing performance and making operating decisions. The Company is focused on the development of a human anti-thymocyte globulin focused on preventing or delaying the progression of T1D.</w:t>
      </w:r>
    </w:p>
    <w:p>
      <w:pPr>
        <w:spacing w:after="0" w:line="5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CODM assesses the Company's performance by reviewing GAAP operating expense and significant expenses by function along with the annual budget. The chief operating decision maker considers budget-to-actual variances on a quarterly basis when making decisions about the allocation of operating and capital resources.</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 A reconciliation to condensed consolidated operating expenses as our single segment operating loss for the three months ended March 31, 2026 and 2025, is included in the table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8" w:name="page29"/>
    <w:bookmarkEnd w:id="28"/>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salaries and benefits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Clinical trial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 supplies and animal care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 services, consulting, and other direct research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45020" cy="420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5020" cy="42037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direct research and development expenses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Indirect research and development expenses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 based compensation (research and development)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Administrative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Professional fees and travel</w:t>
      </w:r>
    </w:p>
    <w:p>
      <w:pPr>
        <w:spacing w:after="0" w:line="32" w:lineRule="exact"/>
        <w:rPr>
          <w:sz w:val="20"/>
          <w:szCs w:val="20"/>
          <w:color w:val="auto"/>
        </w:rPr>
      </w:pPr>
    </w:p>
    <w:p>
      <w:pPr>
        <w:ind w:right="3080"/>
        <w:spacing w:after="0" w:line="291" w:lineRule="auto"/>
        <w:rPr>
          <w:sz w:val="20"/>
          <w:szCs w:val="20"/>
          <w:color w:val="auto"/>
        </w:rPr>
      </w:pPr>
      <w:r>
        <w:rPr>
          <w:rFonts w:ascii="Times New Roman" w:cs="Times New Roman" w:eastAsia="Times New Roman" w:hAnsi="Times New Roman"/>
          <w:sz w:val="16"/>
          <w:szCs w:val="16"/>
          <w:color w:val="auto"/>
        </w:rPr>
        <w:t>Insurance, office expense, and other administrative expenses Share based compensation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0"/>
              <w:spacing w:after="0" w:line="15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0"/>
              <w:spacing w:after="0" w:line="15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420"/>
        </w:trPr>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3,769,049</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2,651,894</w:t>
            </w: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3,196,835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1,927,208</w:t>
            </w: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1,094,645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556,421</w:t>
            </w:r>
          </w:p>
        </w:tc>
      </w:tr>
      <w:tr>
        <w:trPr>
          <w:trHeight w:val="219"/>
        </w:trPr>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1,002,618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942,704</w:t>
            </w:r>
          </w:p>
        </w:tc>
      </w:tr>
      <w:tr>
        <w:trPr>
          <w:trHeight w:val="199"/>
        </w:trPr>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9,063,147</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6,078,227</w:t>
            </w:r>
          </w:p>
        </w:tc>
      </w:tr>
      <w:tr>
        <w:trPr>
          <w:trHeight w:val="196"/>
        </w:trPr>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1,472,920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1,246,805</w:t>
            </w:r>
          </w:p>
        </w:tc>
      </w:tr>
      <w:tr>
        <w:trPr>
          <w:trHeight w:val="213"/>
        </w:trPr>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2,861,910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332,289</w:t>
            </w:r>
          </w:p>
        </w:tc>
      </w:tr>
      <w:tr>
        <w:trPr>
          <w:trHeight w:val="199"/>
        </w:trPr>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13,397,977</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7,657,321</w:t>
            </w:r>
          </w:p>
        </w:tc>
      </w:tr>
      <w:tr>
        <w:trPr>
          <w:trHeight w:val="420"/>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1,818,302</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1,352,628</w:t>
            </w: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717,451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425,638</w:t>
            </w:r>
          </w:p>
        </w:tc>
      </w:tr>
      <w:tr>
        <w:trPr>
          <w:trHeight w:val="208"/>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1,466,004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1,055,853</w:t>
            </w:r>
          </w:p>
        </w:tc>
      </w:tr>
      <w:tr>
        <w:trPr>
          <w:trHeight w:val="210"/>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2,598,002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280,662</w:t>
            </w:r>
          </w:p>
        </w:tc>
      </w:tr>
    </w:tbl>
    <w:p>
      <w:pPr>
        <w:spacing w:after="0" w:line="20" w:lineRule="exact"/>
        <w:rPr>
          <w:sz w:val="20"/>
          <w:szCs w:val="20"/>
          <w:color w:val="auto"/>
        </w:rPr>
      </w:pPr>
    </w:p>
    <w:p>
      <w:pPr>
        <w:sectPr>
          <w:pgSz w:w="11900" w:h="16838" w:orient="portrait"/>
          <w:cols w:equalWidth="0" w:num="2">
            <w:col w:w="7020" w:space="720"/>
            <w:col w:w="3500"/>
          </w:cols>
          <w:pgMar w:left="320" w:top="1006" w:right="339" w:bottom="1440" w:gutter="0" w:footer="0" w:header="0"/>
        </w:sectPr>
      </w:pPr>
    </w:p>
    <w:tbl>
      <w:tblPr>
        <w:tblLayout w:type="fixed"/>
        <w:tblInd w:w="0" w:type="dxa"/>
        <w:tblCellMar>
          <w:top w:w="0" w:type="dxa"/>
          <w:left w:w="0" w:type="dxa"/>
          <w:bottom w:w="0" w:type="dxa"/>
          <w:right w:w="0" w:type="dxa"/>
        </w:tblCellMar>
      </w:tblPr>
      <w:tr>
        <w:trPr>
          <w:trHeight w:val="182"/>
        </w:trPr>
        <w:tc>
          <w:tcPr>
            <w:tcW w:w="77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Total general and administrative expenses</w:t>
            </w:r>
          </w:p>
        </w:tc>
        <w:tc>
          <w:tcPr>
            <w:tcW w:w="44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6,599,759</w:t>
            </w:r>
          </w:p>
        </w:tc>
        <w:tc>
          <w:tcPr>
            <w:tcW w:w="2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3,114,781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19,997,736</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10,772,102</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Sheets as Cash and cash equivalents and Short-term and Long-term investments.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Long-lived assets are reported on the Condensed Consolidated Balance Sheets as Property, plant and equipment, net of accumulated depreciation and these assets are held in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Underwriters’ Option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April 2026, in connection with the March 2026 Public Offering, the underwriters partially exercised their option to purchase an additional 610,188 shares of common stock at the public offering price of $3.85 per share, less underwriting discounts and commissions, resulting in additional net proceeds to the Company of approximately $2.2 million. As of April 20, 2026, the remaining Optional Shares of 701,500 expired without exercise.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Services Agreement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28, 2026 (the “MSA Effective Date”), the Company entered into a Master Manufacturing Services Agreement (the “MSA”) with Emergent BioSolutions Canada Inc. (“Emergent”). Pursuant to the MSA, Emergent will perform clinical and commercial manufacturing and related services for the Company with respect to SAB-142 (the “Product”) at Emergent’s facility in Canada. The MSA commences on the MSA Effective Date and would continue for a period of five (5) years from the date the Product obtains approval from the United States Food and Drug Administration (“FDA”), with a minimum aggregate spend following any FDA approval equal to $36 million. The parties may mutually agree to extend the term by execution of an amendment at any time prior to its expiration. The MSA may be terminated: (i) by either party immediately upon an insolvency or bankruptcy event; (ii) by Emergent immediately if the Company fails to pay undisputed amounts within thirty (30) days after written notice; (iii) by either party for material breach, subject to a cure period of thirty (30) days (or up to ninety (90) days if diligently pursued); (iv) by mutual written agreement; or (v) by either party upon thirty (30) days’ notice if a force majeure event prevents performance for ninety (90) consecutive calendar days. Upon termination by Emergent for the Company’s insolvency, non-payment, or material breach, the Company must pay Emergent an amount equal to the minimum annual aggregate spend for each remaining calendar year of the term, less saved costs. The applicable batch price and fees for commercial manufacturing services will be agreed upon in a subsequent amendment to the MSA. Development services pricing will be set forth in individual statements of work executed by the parties. Pricing is subject to annual adjustments. Emergent has the sole and exclusive right to manufacture the Product during the term of the MSA. The Company may contract with a third party to establish an alternative manufacturing source. The Company may purchase from an alternative source in limited circumstances and in all cases, only in quantities that Emergent is unable or declines to manufacture. The MSA includes customary mutual confidentiality obligations.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Sanford Lease Amendment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1, 2026, the Company entered into a lease amendment for its operating lease with Sanford Health, which reduced the lease square footage to 13,492 and decreased the monthly lease payments to approximately $33 thousand.</w:t>
      </w:r>
    </w:p>
    <w:p>
      <w:pPr>
        <w:spacing w:after="0" w:line="27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7" w:right="7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consolidated financial statements and the accompanying notes included in Part I, Item 1 of this Form 10-Q. Some of the information contained in this discussion and analysis contains forward-looking statements that involve risks, uncertainties, and assumptions. As a result of many factors, including those factors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actual results could differ materially from those discussed in or implied by these forward-looking statements. Factors that could cause or contribute to such differences include, but are not limited to, those discussed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Please also refer to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 Looking Statements.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or “Form 10-Q”) includes “forward-looking statements” within the meaning of Section 27A of the Securities Act of 1933, as amended (the “Securities Act”) and Section 21E of the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our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involve known and unknown risks,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 addition, historic results, including but not limited to those related to IND enabling GLP safety/toxicology of SAB-142; and Phase 1 &amp; Phase 2a results of SAB-176; do not guarantee that future research or trials will suggest the same conclusions, nor that historic results referred to herein will be interpreted in the same manner due to future preclinical and clinical trial results or otherwise. For information identifying important factors that could cause actual results to differ materially from those anticipated in the forward-looking statements, please refer to the sections entitled “Risk Factors” in this Quarterly Report, our most recent Annual Report on Form 10-K, subsequent Quarterly Reports on Form 10-Q, and other periodic reports filed with the Securities and Exchange Commission (the “SEC”) and available at https://www.sec.gov/. Readers are cautioned not to place undue reliance on these forward-looking statements, which speak only as of the date hereof. Except as expressly required by applicable law, we disclaim any intention or obligation to update or revise any forward-looking statements whether as a result of new information, future events or otherwise. Although we believe that the expectations reflected in the forward-looking statements are reasonable, we cannot guarantee future results, levels of activity, performance, or achievements.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multi-specific, high-potency, human immunoglobulin G (hIgG) to treat and prevent immune and autoimmune disorders. Our programs are based on mechanisms of action that have achieved proof-of-concept in clinical trials in indications with significant unmet medical needs. We are focused on developing product candidates for disease targets where a differentiated approach has the greatest potential to be either first-in-class against novel targets or best-in-class against complex targets to treat diseases, including type 1 diabetes (T1D) and other autoimmune disorders. The Company’s lead candidate, SAB-142, targets autoimmune T1D with a disease-modifying therapeutic approach that aims to change the T1D treatment paradigm by delaying onset and potentially preventing disease progression of Stage 3 T1D patients.</w:t>
      </w:r>
    </w:p>
    <w:p>
      <w:pPr>
        <w:spacing w:after="0" w:line="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Using advanced genetic engineering and antibody science, we developed a proprietary technology which holds the potential to generate additional novel therapeutic candidates utilizing the human immune response, without the need for human donors or convalescent plasma. We believe it is the only technology capable of producing disease-targeted, hIgG in large quantities without human plasma donors.</w:t>
      </w:r>
    </w:p>
    <w:p>
      <w:pPr>
        <w:spacing w:after="0" w:line="6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have optimized genetic engineering in the development of transchromosomic cattle, or Tc-Bovine™, to produce hIgG. Our engineering of our production platform drives IgG1 production across our pipeline. In addition, this differentiated approach using polyclonal antibodies has no biosimilar pathway, which provides a significant barrier to competitive polyclonal approaches.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proprietary platform holds the potential to generate additional novel therapeutic candidates to expand our pipeline, utilizing the human immune response to generate the optimal repertoire of hIgG for drug targets of interest. Our drug development production system is able to generate a diverse repertoire of specifically targeted, high-potency, hIgGs that can bind to multiple sites on targeted immunogens, making them ideally suited to address the complexities associated with many immune-mediated disorders and address a wide range of serious unmet needs in human diseases.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SAB-142: Our Lead Product Candidate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wholly owned lead product candidate, SAB-142 is a potentially disease-modifying, redosable immunotherapy in clinical development for the treatment of autoimmune type 1 diabetes (T1D). SAB-142 is a multi-specific, fully human anti-thymocyte globulin (hATG) with a mechanism of action analogous to that of rabbit ATG (rATG). rATG has demonstrated in multiple clinical trials the ability to slow disease progression in patients with new- or recent-onset of Stage 3 T1D. SAB-142, like rATG, directly targets multiple immune cells involved in destroying pancreatic beta cells, including modulation of “bad acting” T-lymphocytes. By stopping immune cells from attacking beta cells, this treatment has the potential to preserve insulin-producing beta cells. The mechanism of action of SAB-142 has been clinically validated in numerous clinical trials with a rabbit anti-thymocyte globulin (rATG). In addition, data from more than 800 human subjects have been treated with antibodies produced by our platform, including in the Phase 1 study of SAB-142, and we have seen no serum sickness rate and no incidence of neutralizing anti-drug antibodies (ADA). We expect this finding to continue through the clinical development of SAB-142.</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is an established regulatory path for T1D indications using the SAB-142 modality. Our regulatory pathway has also been established with the United States Food and Drug Administration (FDA), the United Kingdom Medicines and Healthcare products Regulatory Agency (MHRA), and the Therapeutic Good Administration (TGA) in Australia. The FDA regulates polyclonal hIgG and mAbs differently, as mAbs are regulated through the Center for Drug Evaluation and Research (CDER) while pAbs are regulated by the Center for Biologics Evaluation and Research (CBER). CBER has approved more than 30 immunoglobulin products from both human- and animal-derived plasma. Further, CBER is very familiar with our production platform and pAb products. We have navigated three SAB drug products through seven clinical trials with one product having advanced to Phase 3, building our safety database as well as positive efficacy data. As our lead program SAB-142 advances, we intend to expand our pipeline in complementary indications through strategic utilization of our platform.</w:t>
      </w:r>
    </w:p>
    <w:p>
      <w:pPr>
        <w:spacing w:after="0" w:line="8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received an Investigational New Drug (IND) clearance from the FDA in May 2024 and announced positive topline data from our Phase 1 clinical trial of SAB-142 in January 2025, and December 2025. We initiated our pivotal Phase 2b clinical trial, called the SAFEGUARD study, in Q3 2025 and dosed the first patient in December 2025 with enrollment ongoing across multiple clinical trial sites in U.S., Australia, New Zealand, U.K. and European Union. Further, we are planning an additional clinical study of SAB-142 in individuals with T1D beyond 100 days of diagnosis.</w:t>
      </w:r>
    </w:p>
    <w:p>
      <w:pPr>
        <w:spacing w:after="0" w:line="7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In March 2026, we announced additional Phase 1 data demonstrating early signals of C-peptide preservation in adult patients with established autoimmune T1D, consistent with SAB-142's anticipated mechanism of action. In April 2026, we presented additional clinical and mechanistic data from our Phase 1 clinical trial of SAB-142 in adult patients with established autoimmune T1D. The Phase 1 T1D cohort included six adult participants (n=6), with four receiving SAB-142 at 2.5 mg/kg (n=4) and two receiving placebo (n=2). Participants ranged in age from 19 to 40 years. All participants with established T1D (Stage 3 T1D diagnosis within 28-40 months at the time of randomization) had residual beta cell function (C-peptide &gt;0.2 nmol/L) and at least one T1D autoantibody at baseline. Phase 1 exploratory efficacy endpoints were measured at the End of Study Day 120 post SAB-142 administration. One placebo participant (n=1) completed through Day 120 as the other placebo participant discontinued early due to personal reasons. The results for SAB-142 highlighted C-peptide preservation, correlated with evidence of T cell exhaustion. Of the four SAB-142-treated participants, three demonstrated a super responder profile with C-peptide levels at or above baseline at Day 120. SAB-142 treated participants showed improved glycemic control, with mean time in range increasing from 73% at baseline to 85% at Day 120, without an associated increase in exogenous insulin use.In May 2025, SAB confirmed its intent with the FDA to utilize the data from the SAFEGUARD study as supportive evidence for future regulatory approval. In April 2026, we received written correspondence from the FDA confirming that C-peptide area under the curve (AUC) may serve as a surrogate endpoint for accelerated approval.</w:t>
      </w:r>
    </w:p>
    <w:p>
      <w:pPr>
        <w:spacing w:after="0" w:line="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2025, we confirmed our intent with the FDA to utilize the data from the SAFEGUARD study as supportive evidence for future regulatory approval. In April 2026, we received written correspondence from the FDA confirming that C-peptide area under the curve (AUC) may serve as a surrogate endpoint for accelerated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Immunology Indications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T- and B-cells are multifunctional lymphocytes whose dysregulation was shown to have a central role in the pathogenesis of more than 80 autoimmune diseases, including T1D, systemic lupus erythematosus (SLE), rheumatoid arthritis (RA), multiple sclerosis (MS) and celiac disease. The therapeutic success to date of lymphocyte-mediating therapies in a variety of autoimmune diseases and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pre-clinical and Phase 1 work from SAB-142 in T1D support direct progression into Phase 2 in other autoimmune indications.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research and development activities, organizing and staffing our company, business planning, raising capital, establishing and maintaining our intellectual property portfolio, conducting preclinical studies and clinical trials, and providing general and administrative support for these operations.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primarily consist of salaries, benefits, incentive compensation, stock-based compensation, laboratory supplies and materials for employees and contractors engaged in research and product development, licensing fees to use certain technology in our research and development projects, fees paid to consultants and various entities that perform certain research and testing on our behalf. Research and development expenses are tracked by target/project code. Indirect general and administrative costs are allocated based upon a percentage of direct costs. We expense all research and development costs in the period in which they are incurred.</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consist of discovery research for our platform development and the indications we are working on. For SAB-142, Avance Clinical PTY, Ltd (“Avance”), acts as the contract research organization (“CRO”) overseeing our Phase 1 safety study. This study started in December 2023 and the terms of that agreement are subject to confidentiality and the status of the agreement is that it is current. Pursuant to an agreement between the Company and Fortrea Holdings Inc. (“Fortrea”). Fortrea is acting as the CRO overseeing our Phase 2b efficacy and safety study for SAB-142. The study began enrolling patients in December 2025.</w:t>
      </w:r>
    </w:p>
    <w:p>
      <w:pPr>
        <w:spacing w:after="0" w:line="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we continued to incur costs to advance our progress towards commercialization of SAB-142. We expect to continue to incur substantial research and development expenses as we conduct discovery research to enhance our platform and work on our indications. We expect to hire additional employees and continue research and development and manufacturing activities. As a result, we expect that our research and development expenses will continue to increase in the future and vary from period to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by component for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&amp; benefits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6,967,964</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3,245,785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228,803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Animal care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trial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3,196,835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1,927,208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Outside laboratory services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863,826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718,272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 consulting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96,088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181,265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Facility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1,154,549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220,561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13,397,977</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7,657,321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benefits, and stock-based compensation costs for employees in our executive, accounting and finance, project management, corporate development, office administration, legal and human resources functions as well as professional services fees, such as consulting, audit, tax and legal fees, general corporate costs and allocated overhead expenses. General and administrative expenses also include rent and facilities expenses allocated based upon total direct costs. We anticipate that general and administrative expenses will increase as we expand our workforce and invest in the advancement of our lead therapeutic candidate in preparation for potential commercialization. Additionally, as our operations grow in complexity and we progress toward commercialization, we may incur higher costs related to accounting, audit, legal, regulatory compliance, director and officer insurance, and investor relations. We expect these expenses to vary from period to period in absolute terms and as a percentage of revenue.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change in fair value of warrant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change in fair value of warrant liabilities consists of the changes in the fair value of the warrant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income primarily consists of income associated with the refundable portion of Australian research and development tax credits and dividend income from non-interest bearing short-term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investments in debt securities,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interest related to abated rent and insurance financing.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5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40" w:type="dxa"/>
            <w:vAlign w:val="bottom"/>
          </w:tcPr>
          <w:p>
            <w:pPr>
              <w:spacing w:after="0"/>
              <w:rPr>
                <w:sz w:val="12"/>
                <w:szCs w:val="12"/>
                <w:color w:val="auto"/>
              </w:rPr>
            </w:pPr>
          </w:p>
        </w:tc>
        <w:tc>
          <w:tcPr>
            <w:tcW w:w="1560" w:type="dxa"/>
            <w:vAlign w:val="bottom"/>
            <w:tcBorders>
              <w:top w:val="single" w:sz="8" w:color="auto"/>
            </w:tcBorders>
          </w:tcPr>
          <w:p>
            <w:pPr>
              <w:jc w:val="right"/>
              <w:ind w:right="56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40" w:type="dxa"/>
            <w:vAlign w:val="bottom"/>
            <w:tcBorders>
              <w:top w:val="single" w:sz="8" w:color="auto"/>
            </w:tcBorders>
            <w:gridSpan w:val="2"/>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13,397,977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7,657,321</w:t>
            </w:r>
          </w:p>
        </w:tc>
        <w:tc>
          <w:tcPr>
            <w:tcW w:w="100" w:type="dxa"/>
            <w:vAlign w:val="bottom"/>
          </w:tcPr>
          <w:p>
            <w:pPr>
              <w:spacing w:after="0"/>
              <w:rPr>
                <w:sz w:val="18"/>
                <w:szCs w:val="18"/>
                <w:color w:val="auto"/>
              </w:rPr>
            </w:pPr>
          </w:p>
        </w:tc>
      </w:tr>
      <w:tr>
        <w:trPr>
          <w:trHeight w:val="205"/>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6,599,759</w:t>
            </w:r>
          </w:p>
        </w:tc>
        <w:tc>
          <w:tcPr>
            <w:tcW w:w="28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3,114,781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4"/>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19,997,736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10,772,102</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-141605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-4445</wp:posOffset>
            </wp:positionV>
            <wp:extent cx="21513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Loss from operations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fair value of warrant liabilities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other income (expense)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before income taxes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(19,997,736)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(10,772,102)</w:t>
            </w:r>
          </w:p>
        </w:tc>
      </w:tr>
      <w:tr>
        <w:trPr>
          <w:trHeight w:val="43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(482,474)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5,035,769</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(62,745)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(69,565)</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1,047,197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546,627</w:t>
            </w: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1,128,851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5,575,329</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(18,868,885)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(5,196,773)</w:t>
            </w:r>
          </w:p>
        </w:tc>
        <w:tc>
          <w:tcPr>
            <w:tcW w:w="40" w:type="dxa"/>
            <w:vAlign w:val="bottom"/>
          </w:tcPr>
          <w:p>
            <w:pPr>
              <w:spacing w:after="0"/>
              <w:rPr>
                <w:sz w:val="17"/>
                <w:szCs w:val="17"/>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(18,868,885)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(5,196,773)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-1268095</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-993775</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-719455</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-457835</wp:posOffset>
            </wp:positionV>
            <wp:extent cx="714502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5020" cy="17145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-161925</wp:posOffset>
            </wp:positionV>
            <wp:extent cx="7132320" cy="162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500"/>
          </w:cols>
          <w:pgMar w:left="320" w:top="1197"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13,397,977</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7,657,321</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5,740,656</w:t>
            </w:r>
          </w:p>
        </w:tc>
        <w:tc>
          <w:tcPr>
            <w:tcW w:w="2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13,397,977</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7,657,321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by $5.7 million, or 75.0%, for the three months ended March 31, 2026, as compared to the three months ended March 31, 2025. The year-over-year change includes an increase in salaries and benefits (year-over-year increase of $3.7 million, 114.7%) and clinical trial costs (year-over-year increase of $1.3 million, 65.9%), outside lab services (year-over-year increase of $0.1 million, 20.3%), overhead and facility expense (year-over-year increase of $0.2 million, 17.5%), animal care (year-over-year increase of $0.3 million, 441.2%), and laboratory supplies (year-over-year increase of $0.2 million, 75.0%), offset by a decrease in project consulting (year-over-year decrease of $0.1 million, 47.0%). We expect research and development expenses to increase in future years as we advance our lead therapeutic candidate through Phase 2 clinical trials and invest in the necessary foundation to support potential commercialization.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6,599,759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3,114,781</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3,484,978</w:t>
            </w:r>
          </w:p>
        </w:tc>
        <w:tc>
          <w:tcPr>
            <w:tcW w:w="2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6,599,759</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3,114,781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9"/>
              </w:rPr>
              <w:t>33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-1079500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-1079500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34" w:name="page35"/>
    <w:bookmarkEnd w:id="34"/>
    <w:p>
      <w:pPr>
        <w:ind w:right="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$3.5 million, or 111.9%, in the three months ended March 31, 2026, as compared to the three months ended March 31, 2025, primarily due to an increase in salaries and benefits (year-over-year increase of $2.8 million, 170.4%), project consulting (year-over-year increase of $0.2 million, 65.3%), and other immaterial administrative support fees relating to IT and human resources (year-over-year increase of $0.6 million, 53.7%), offset by a decrease in insurance costs (year-over-year decrease of $0.1 million, 10.3%). As our operations grow in complexity and we progress toward commercialization, we may incur higher costs related to accounting, audit, legal, regulatory compliance, director and officer insurance, and investor relations.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5"/>
                <w:szCs w:val="15"/>
                <w:color w:val="auto"/>
              </w:rPr>
            </w:pPr>
          </w:p>
        </w:tc>
        <w:tc>
          <w:tcPr>
            <w:tcW w:w="16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(482,474)</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5,035,769</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(5,518,243)</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626,873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546,627</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80,246</w:t>
            </w:r>
          </w:p>
        </w:tc>
        <w:tc>
          <w:tcPr>
            <w:tcW w:w="22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non-operating income (expense)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144,399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5,582,396</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Total other non-operating income, not including interest income and interest expense, decreased by $5.4 million, or (97.41)%, in the three months ended March 31, 2026, as compared to the three months ended March 31, 2025. This decrease was primarily driven by the change in fair value of warrant liabilities (year-over-year decrease of $5.5 million, (109.58)%). Total other income increased by $0.1 million, primarily driven by an increase in dividend income (year-over-year increase of $0.4 million, 361.0%), offset by a decrease in the Australian research and development tax credit (year-over-year decrease of $0.3 million, 76.4%).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5"/>
                <w:szCs w:val="15"/>
                <w:color w:val="auto"/>
              </w:rPr>
            </w:pPr>
          </w:p>
        </w:tc>
        <w:tc>
          <w:tcPr>
            <w:tcW w:w="16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62,745</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69,565</w:t>
            </w:r>
          </w:p>
        </w:tc>
        <w:tc>
          <w:tcPr>
            <w:tcW w:w="6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(6,820)</w:t>
            </w:r>
          </w:p>
        </w:tc>
        <w:tc>
          <w:tcPr>
            <w:tcW w:w="18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62,745</w:t>
            </w:r>
          </w:p>
        </w:tc>
        <w:tc>
          <w:tcPr>
            <w:tcW w:w="12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 the three months ended March 31, 2026 was consistent with interest expense in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1,047,197</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62,498</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984,699</w:t>
            </w:r>
          </w:p>
        </w:tc>
        <w:tc>
          <w:tcPr>
            <w:tcW w:w="2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1,575.57%</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1,047,197</w:t>
            </w:r>
          </w:p>
        </w:tc>
        <w:tc>
          <w:tcPr>
            <w:tcW w:w="12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increased by $1.0 million, or 1,575.57%, during the three months ended March 31, 2026, as compared to the three months ended March 31, 2025, primarily due to interest earned on our investments in debt securities, and higher interest earning cash, and cash equivalent balances.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Future interest income will be largely dependent on our total liquid cash and investment balances, which are in turn influenced by our capital resources and future fundraising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2026, we had an accumulated deficit of $129.8 million. We anticipate that we will continue to generate losses for the foreseeable future, and expect the losses to increase as we continue the development of, or seeks regulatory approvals for product candidates, and begin commercialization of products. As a result, we will require additional capital to fund operations in order to support long-term plans.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21, 2025, we entered into the July 2025 Purchase Agreement with certain accredited investors, pursuant to which we agreed to issue and sell, in the Series B Offering, (i) 1,000,000 Series B Shares, convertible into 100,000,000 Series B Conversion Shares, (ii) the Release Date Warrants to purchase up to 500,000 the Release Date Warrant Shares, and (iii) the Enrollment Date Warrants to purchase up to 1,000,000 Enrollment Date Warrant Shares. We generated approximately $175 million in gross proceeds, before fees and expenses, from the Series B Offering. The Series B Preferred Stock is convertible into common stock, subject to stockholder approval.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40"/>
        <w:spacing w:after="0" w:line="255" w:lineRule="auto"/>
        <w:rPr>
          <w:sz w:val="20"/>
          <w:szCs w:val="20"/>
          <w:color w:val="auto"/>
        </w:rPr>
      </w:pPr>
      <w:r>
        <w:rPr>
          <w:rFonts w:ascii="Times New Roman" w:cs="Times New Roman" w:eastAsia="Times New Roman" w:hAnsi="Times New Roman"/>
          <w:sz w:val="18"/>
          <w:szCs w:val="18"/>
          <w:color w:val="auto"/>
        </w:rPr>
        <w:t>On March 17, 2026, we entered into the March 2026 Public Offering with the underwriters, pursuant to which we agreed to issue and sell, in the March 2026 Public Offering, (i) 19,324,677 Firm Shares at a public offering price of $3.85 per share and (ii) Pre-Funded Warrants to purchase up to 2,753,246 shares of common stock at a public offering price of $3.8499 per Pre-Funded Warrant. We also granted the underwriters a 30-day option to purchase up to an additional 3,311,688 Optional Shares, which the underwriters partially exercised as of March 31, 2026 to purchase 2,000,000 Optional Shares. We generated aggregate net proceeds of approximately $86.4 million from the March 2026 Public Offering and an additional $7.2 million of net proceeds from the underwriters’ purchase of additional shares, after deducting underwriting discounts and commissions and offering expenses. The net proceeds are intended to fund the Phase 2b SAFEGUARD study of SAB-142 and for general corporate purposes.</w:t>
      </w:r>
    </w:p>
    <w:p>
      <w:pPr>
        <w:spacing w:after="0" w:line="7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our condensed consolidated financial statements for more information about the Series B Offering and March 2026 Public Offering.</w:t>
      </w:r>
    </w:p>
    <w:p>
      <w:pPr>
        <w:spacing w:after="0" w:line="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Based on our current level of operating expenses, existing resources will be sufficient to cover operating cash needs through the twelve months following the date of this report. In the future, we may seek additional funding through a combination of equity or debt financings, or other third-party financing, collaborative or other funding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December 29, 2025 we filed a Registration Statement on Form S-3 (Registration No. 333-292482) (the “Shelf Registration Statement”), declared effective on January 7, 2026 by the SEC, which includes a base prospectus that allows us to offer and sell, from time to time, in one or more offerings, common stock, preferred stock, debt securities, warrants, rights or units up to an aggregate public offering price of $300 million. The Shelf Registration Statement is intended to preserve our flexibility to raise capital from time to time, if and when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2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7"/>
        </w:trPr>
        <w:tc>
          <w:tcPr>
            <w:tcW w:w="730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5"/>
              <w:spacing w:after="0" w:line="147"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53"/>
              <w:spacing w:after="0" w:line="147"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(14,271,130)</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(7,797,217)</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(65,647,676)</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4,671,103</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89,921,121</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(173,985)</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tcPr>
          <w:p>
            <w:pPr>
              <w:spacing w:after="0"/>
              <w:rPr>
                <w:sz w:val="18"/>
                <w:szCs w:val="18"/>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10,017,044</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(3,257,599)</w:t>
            </w:r>
          </w:p>
        </w:tc>
      </w:tr>
      <w:tr>
        <w:trPr>
          <w:trHeight w:val="20"/>
        </w:trPr>
        <w:tc>
          <w:tcPr>
            <w:tcW w:w="7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increased by $6.5 million in the three months ended March 31, 2026, as compared to the three months ended March 31, 2025. This increase was primarily driven by a $3.3 million increase in net cash used before changes in operating assets and liabilities, reflecting a higher net loss due to increased research and development expenses, with higher non-cash adjustments, including stock-based compensation and changes in fair value of warrant liabilities. In addition, cash used in operating activities increased by $3.2 million due to changes in operating assets and liabilities. The year-over-year increase in cash used reflects working capital fluctuations as we continue to invest in the development of our lead product candidate, SAB-142.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increased by $70.3 million in the three months ended March 31, 2026, as compared to the three months ended March 31, 2025, primarily due to increased purchases of short-term investments and increase in capital expenditures. We anticipate to increase capital expenditures in the near term as we continue to invest in the development of our lead therapeutic candidate through Phase 2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by $90.1 million in the three months ended March 31, 2026, as compared to the three months ended March 31, 2025, primarily due to the March 2026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 into contracts in the normal course of business with third parties, including contract research organizations (“CRO”).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As of March 31, 2026, there were no material changes outside of the ordinary course of business to our commitments and contractual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did not have, for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prepared our condensed consolidated financial statements in accordance with U.S. GAAP. Our preparation of these condensed consolidated financial statements requires us to make estimates, assumptions and judgments that affect the reported amounts of assets, liabilities, revenue, expenses, and related disclosures.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Our most critical accounting estimates and assumptions are included in our Annual Report on Form 10-K for the year ended December 31, 2025 filed with the SEC on March 9, 2026. There have been no significant changes to our critical accounting policies during the three months ended March 31, 2026.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condensed consolidated financial statements for further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Jumpstart Our Business Startups (“JOBS”) Act, enacted in April 2012, permits an “emerging growth company” such as us to take advantage of an extended transition period to comply with new or revised accounting standards applicable to public companies until those standards would otherwise apply to private companies. We have and intend to continue to take advantage of all of the reduced reporting requirements and exemptions, including the longer phase-in periods for the adoption of new or revised financial accounting standards, for an emerging growth company under Section 107 of the JOBS Act.</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may use these provisions until the last day of our fiscal year in which the fifth anniversary of the completion of our initial public offering occurred. However, if certain events occur prior to the end of such five-year period, including if we become a “large accelerated filer,” our annual gross revenue exceeds $1.235 billion, or we issue more than $1.07 billion of non-convertible debt in any three-year period, we will cease to be an emerging growth company prior to the end of such five-year period.</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Form 10-Q and may elect to take advantage of other reduced reporting requirements in future filings. As a result, the information that we provide to our shareholders may be different than the information you receive from other public companies in which you hold stock.</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no revenue for the three months ended March 31, 2026. To date, no receivables have been written off.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cash, cash equivalents, U.S. treasury securities, corporate bonds, investments in exchange traded mutual funds, and money market funds of $217.6 million and $143.5 million, respectively, all of which was maintained in bank accounts, money market funds, mutual funds, and U.S. treasury securities. Our primary exposure to market risk is to interest income volatility, which is affected by changes in the general level of interest rates. A 10% change in the market interest rates would not have a material effect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conduct materially all of our business in U.S. dollars. We do not have any foreign currency or other derivative financial instruments. Our primary exposure to changes in foreign currency exchange rates relates mainly to SAB Australia. We do not currently hedge our foreign currency exchange rate risk. As of March 31, 2026 and December 31, 2025, our liabilities denominated in foreign currencies were not material. Accordingly, we do not believe a 10% increase or decrease in current exchange rates would have a material effect on our financial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as of March 31, 2026, our Chief Executive Officer and Chief Financial Officer have concluded that the Company’s disclosure controls and procedures were effective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not currently a party to any material litigation, nor are we aware of any pending or threatened litigation against us that we believe would materially affect our business, operating results, financial condition, or cash flows. Participants in our industry face frequent claims and litigation, including securities litigation, claims regarding patent and other intellectual property rights, and other liability claims. As a result, we may be involved in various legal proceedings from time to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is subject to various risks, including those described in Item 1A of our Annual Report on Form 10-K for the fiscal year ended December 31, 2025, filed with the SEC on March 9, 2026, which we strongly encourage you to review (the “2025 Annual Report”). There have been no material changes from the risk factors described in our 2025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officers (as defined in Rule 16a-1(f) of the Exchange Act) adopted, terminated or modified a Rule 10b5-1 trading arrangement or non-Rule 10b5-1 trading arrangement (as such terms are defined in Item 408 of Regulation S-K of the Securities Act.).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580" w:type="dxa"/>
            <w:vAlign w:val="bottom"/>
            <w:gridSpan w:val="19"/>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340" w:type="dxa"/>
            <w:vAlign w:val="bottom"/>
          </w:tcPr>
          <w:p>
            <w:pPr>
              <w:jc w:val="right"/>
              <w:ind w:right="1276"/>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90"/>
        </w:trPr>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4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1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Form of Pre-Funded Warrant</w:t>
              </w:r>
            </w:hyperlink>
          </w:p>
        </w:tc>
        <w:tc>
          <w:tcPr>
            <w:tcW w:w="20" w:type="dxa"/>
            <w:vAlign w:val="bottom"/>
            <w:tcBorders>
              <w:bottom w:val="single" w:sz="8" w:color="0000EE"/>
            </w:tcBorders>
          </w:tcPr>
          <w:p>
            <w:pPr>
              <w:spacing w:after="0"/>
              <w:rPr>
                <w:sz w:val="21"/>
                <w:szCs w:val="21"/>
                <w:color w:val="auto"/>
              </w:rPr>
            </w:pPr>
          </w:p>
        </w:tc>
        <w:tc>
          <w:tcPr>
            <w:tcW w:w="2440" w:type="dxa"/>
            <w:vAlign w:val="bottom"/>
            <w:gridSpan w:val="14"/>
          </w:tcPr>
          <w:p>
            <w:pPr>
              <w:spacing w:after="0"/>
              <w:rPr>
                <w:sz w:val="21"/>
                <w:szCs w:val="21"/>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001-39871</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19,2026</w:t>
            </w: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1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Underwriting Agreement, dated March 17, 2026, by and</w:t>
              </w:r>
            </w:hyperlink>
          </w:p>
        </w:tc>
        <w:tc>
          <w:tcPr>
            <w:tcW w:w="460" w:type="dxa"/>
            <w:vAlign w:val="bottom"/>
            <w:gridSpan w:val="10"/>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001-39871</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19, 2026</w:t>
            </w:r>
          </w:p>
        </w:tc>
      </w:tr>
      <w:tr>
        <w:trPr>
          <w:trHeight w:val="196"/>
        </w:trPr>
        <w:tc>
          <w:tcPr>
            <w:tcW w:w="1160" w:type="dxa"/>
            <w:vAlign w:val="bottom"/>
          </w:tcPr>
          <w:p>
            <w:pPr>
              <w:spacing w:after="0"/>
              <w:rPr>
                <w:sz w:val="17"/>
                <w:szCs w:val="17"/>
                <w:color w:val="auto"/>
              </w:rPr>
            </w:pPr>
          </w:p>
        </w:tc>
        <w:tc>
          <w:tcPr>
            <w:tcW w:w="43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between SAB Biotherapeutics, Inc. and Jefferies LLC, UBS</w:t>
              </w:r>
            </w:hyperlink>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4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Securities, LLC, Citigroup Global Markets Inc., and Barclays</w:t>
              </w:r>
            </w:hyperlink>
          </w:p>
        </w:tc>
        <w:tc>
          <w:tcPr>
            <w:tcW w:w="10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1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Capital Inc. as representatives of the several underwriters</w:t>
              </w:r>
            </w:hyperlink>
          </w:p>
        </w:tc>
        <w:tc>
          <w:tcPr>
            <w:tcW w:w="40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named therein.</w:t>
              </w:r>
            </w:hyperlink>
          </w:p>
        </w:tc>
        <w:tc>
          <w:tcPr>
            <w:tcW w:w="350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Sanford Lease Amendment, dated April 1, 2026</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5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8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5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5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gridSpan w:val="9"/>
          </w:tcPr>
          <w:p>
            <w:pPr>
              <w:spacing w:after="0"/>
              <w:rPr>
                <w:sz w:val="17"/>
                <w:szCs w:val="17"/>
                <w:color w:val="auto"/>
              </w:rPr>
            </w:pPr>
          </w:p>
        </w:tc>
        <w:tc>
          <w:tcPr>
            <w:tcW w:w="34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31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14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5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5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gridSpan w:val="9"/>
          </w:tcPr>
          <w:p>
            <w:pPr>
              <w:spacing w:after="0"/>
              <w:rPr>
                <w:sz w:val="17"/>
                <w:szCs w:val="17"/>
                <w:color w:val="auto"/>
              </w:rPr>
            </w:pPr>
          </w:p>
        </w:tc>
        <w:tc>
          <w:tcPr>
            <w:tcW w:w="34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32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3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3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218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36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3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3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218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3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XBRL tags are</w:t>
            </w: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103" w:lineRule="exact"/>
        <w:rPr>
          <w:sz w:val="20"/>
          <w:szCs w:val="20"/>
          <w:color w:val="auto"/>
        </w:rPr>
      </w:pPr>
    </w:p>
    <w:p>
      <w:pPr>
        <w:ind w:left="1160" w:right="5640" w:hanging="1152"/>
        <w:spacing w:after="0" w:line="282"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4230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right="260" w:firstLine="8"/>
        <w:spacing w:after="0" w:line="266" w:lineRule="auto"/>
        <w:tabs>
          <w:tab w:leader="none" w:pos="2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are not deemed filed with the SEC and are not to be incorporated by reference into any filing of SAB Biotherapeutics, Inc. under the Securities Act of 1933 or the Securities Exchange Act of 1934, whether made before or after the date of this Quarterly Report, irrespective of any general incorporation language contained in such filing.</w:t>
      </w:r>
    </w:p>
    <w:p>
      <w:pPr>
        <w:spacing w:after="0" w:line="68" w:lineRule="exact"/>
        <w:rPr>
          <w:sz w:val="20"/>
          <w:szCs w:val="20"/>
          <w:color w:val="auto"/>
        </w:rPr>
      </w:pPr>
    </w:p>
    <w:p>
      <w:pPr>
        <w:ind w:left="5540" w:right="5160" w:hanging="5532"/>
        <w:spacing w:after="0" w:line="409" w:lineRule="auto"/>
        <w:tabs>
          <w:tab w:leader="none" w:pos="14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Denotes management contract or any compensatory plan, contract or arrangement.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SAB BIOTHERAPEUTICS, INC.</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12, 2026</w:t>
            </w:r>
          </w:p>
        </w:tc>
        <w:tc>
          <w:tcPr>
            <w:tcW w:w="22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Samuel J. Reich</w:t>
            </w:r>
          </w:p>
        </w:tc>
      </w:tr>
      <w:tr>
        <w:trPr>
          <w:trHeight w:val="187"/>
        </w:trPr>
        <w:tc>
          <w:tcPr>
            <w:tcW w:w="7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Samuel J. Reich</w:t>
            </w:r>
          </w:p>
        </w:tc>
      </w:tr>
      <w:tr>
        <w:trPr>
          <w:trHeight w:val="214"/>
        </w:trPr>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190"/>
        </w:trPr>
        <w:tc>
          <w:tcPr>
            <w:tcW w:w="7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415"/>
        </w:trPr>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Lucy To</w:t>
            </w:r>
          </w:p>
        </w:tc>
      </w:tr>
      <w:tr>
        <w:trPr>
          <w:trHeight w:val="187"/>
        </w:trPr>
        <w:tc>
          <w:tcPr>
            <w:tcW w:w="7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Lucy To</w:t>
            </w:r>
          </w:p>
        </w:tc>
      </w:tr>
      <w:tr>
        <w:trPr>
          <w:trHeight w:val="232"/>
        </w:trPr>
        <w:tc>
          <w:tcPr>
            <w:tcW w:w="7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68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FIRST AMENDMENT TO LEASE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as of 1 April, 2026,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Sanford Health, a South Dakota non-profit corporation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SAB Biotherapeutics, Inc.,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10" w:lineRule="exact"/>
        <w:rPr>
          <w:sz w:val="20"/>
          <w:szCs w:val="20"/>
          <w:color w:val="auto"/>
        </w:rPr>
      </w:pPr>
    </w:p>
    <w:p>
      <w:pPr>
        <w:ind w:firstLine="757"/>
        <w:spacing w:after="0" w:line="258" w:lineRule="auto"/>
        <w:tabs>
          <w:tab w:leader="none" w:pos="110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are parties to that certain Lease Agreement dated as of 1 February 2025 (as the same may have been amended,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0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have agreed to enter into this Amendment for the purpose of reducing the square footage and modifying the space to be leased by Tenant.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set forth in this Amendment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sufficiency and receipt of which is hereby acknowledged, Landlord and Tenant hereby agree as follows:</w:t>
      </w:r>
    </w:p>
    <w:p>
      <w:pPr>
        <w:spacing w:after="0" w:line="171" w:lineRule="exact"/>
        <w:rPr>
          <w:sz w:val="20"/>
          <w:szCs w:val="20"/>
          <w:color w:val="auto"/>
        </w:rPr>
      </w:pPr>
    </w:p>
    <w:p>
      <w:pPr>
        <w:jc w:val="both"/>
        <w:ind w:left="380" w:hanging="372"/>
        <w:spacing w:after="0" w:line="236" w:lineRule="auto"/>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Leased Premises</w:t>
      </w:r>
      <w:r>
        <w:rPr>
          <w:rFonts w:ascii="Times New Roman" w:cs="Times New Roman" w:eastAsia="Times New Roman" w:hAnsi="Times New Roman"/>
          <w:sz w:val="22"/>
          <w:szCs w:val="22"/>
          <w:color w:val="auto"/>
        </w:rPr>
        <w:t>. The Leased Premises as defined in Article 1 Section 1 of the Agreement and depicted in Exhibit A of the Agreement shall be amended. Upon execution of this amendment the Leased Space shall now equal thirteen thousand four hundred ninety-two square feet (13,492 sq ft) on the first floor of the Building as depicted on the new Exhibit A attached to this Amendment as Attachment 1. Exhibit A of the Agreement is hereby stricken and replaced with the Exhibit A attached to the Amendment as Attachment 1. Use of Common Area described in the Agreement shall not be affected by this Amendment.</w:t>
      </w:r>
    </w:p>
    <w:p>
      <w:pPr>
        <w:spacing w:after="0" w:line="181" w:lineRule="exact"/>
        <w:rPr>
          <w:rFonts w:ascii="Times New Roman" w:cs="Times New Roman" w:eastAsia="Times New Roman" w:hAnsi="Times New Roman"/>
          <w:sz w:val="22"/>
          <w:szCs w:val="22"/>
          <w:color w:val="auto"/>
        </w:rPr>
      </w:pPr>
    </w:p>
    <w:p>
      <w:pPr>
        <w:jc w:val="both"/>
        <w:ind w:left="380" w:hanging="372"/>
        <w:spacing w:after="0" w:line="239" w:lineRule="auto"/>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Rent</w:t>
      </w:r>
      <w:r>
        <w:rPr>
          <w:rFonts w:ascii="Times New Roman" w:cs="Times New Roman" w:eastAsia="Times New Roman" w:hAnsi="Times New Roman"/>
          <w:sz w:val="22"/>
          <w:szCs w:val="22"/>
          <w:color w:val="auto"/>
        </w:rPr>
        <w:t>. The Annual Rent described in Article 3 Section 1 shall be adjusted accordingly by multiplying the current per square foot rate by the new square footage. For clarity, no other conditions of the Annual Rent shall be affected by this Amendment, such as, but not limited to, the requirement of twelve (12) payments due on the first of each month and the annual inflation provision.</w:t>
      </w:r>
    </w:p>
    <w:p>
      <w:pPr>
        <w:spacing w:after="0" w:line="180" w:lineRule="exact"/>
        <w:rPr>
          <w:rFonts w:ascii="Times New Roman" w:cs="Times New Roman" w:eastAsia="Times New Roman" w:hAnsi="Times New Roman"/>
          <w:sz w:val="22"/>
          <w:szCs w:val="22"/>
          <w:color w:val="auto"/>
        </w:rPr>
      </w:pPr>
    </w:p>
    <w:p>
      <w:pPr>
        <w:jc w:val="both"/>
        <w:ind w:left="380" w:right="20" w:hanging="372"/>
        <w:spacing w:after="0" w:line="244" w:lineRule="auto"/>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constitutes all of the agreements among the parties relating to the matters set forth herein and supersedes all other prior or concurrent oral or written letters, agreements or understandings with respect to the matters set forth herein.</w:t>
      </w:r>
    </w:p>
    <w:p>
      <w:pPr>
        <w:spacing w:after="0" w:line="173"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signed in any number of counterparts by the parties hereto, all of which taken together shall constitute one and the same instrument.</w:t>
      </w:r>
    </w:p>
    <w:p>
      <w:pPr>
        <w:spacing w:after="0" w:line="158"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Scope of Amendment</w:t>
      </w:r>
      <w:r>
        <w:rPr>
          <w:rFonts w:ascii="Times New Roman" w:cs="Times New Roman" w:eastAsia="Times New Roman" w:hAnsi="Times New Roman"/>
          <w:sz w:val="22"/>
          <w:szCs w:val="22"/>
          <w:color w:val="auto"/>
        </w:rPr>
        <w:t>. Except as otherwise expressly provided in this Amendment, the terms and provisions of the Lease are unmodified and in full force and effect and the same are ratified and confirmed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Landlord and Tenant have executed this Amendment as of the day and year first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LANDLORD:</w:t>
      </w: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SANFORD HEALTH</w:t>
      </w: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1385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22"/>
          <w:szCs w:val="22"/>
          <w:color w:val="auto"/>
        </w:rPr>
        <w:t>Name: Matt Hocks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-22860</wp:posOffset>
            </wp:positionV>
            <wp:extent cx="342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Title: Chief Operating Officer</w:t>
      </w:r>
    </w:p>
    <w:p>
      <w:pPr>
        <w:spacing w:after="0" w:line="1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TENANT:</w:t>
      </w: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SAB BIOTHERAPEUTICS, INC.</w:t>
      </w: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1385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22"/>
          <w:szCs w:val="22"/>
          <w:color w:val="auto"/>
        </w:rPr>
        <w:t>Name: Eddie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-22860</wp:posOffset>
            </wp:positionV>
            <wp:extent cx="342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Title: President &amp;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72" w:right="759" w:bottom="1440" w:gutter="0" w:footer="0" w:header="0"/>
        </w:sectPr>
      </w:pPr>
    </w:p>
    <w:bookmarkStart w:id="43" w:name="page44"/>
    <w:bookmarkEnd w:id="43"/>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ATTACHMENT 1</w:t>
      </w:r>
    </w:p>
    <w:p>
      <w:pPr>
        <w:spacing w:after="0" w:line="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color w:val="auto"/>
        </w:rPr>
        <w:t>EXHIBIT A</w:t>
      </w:r>
    </w:p>
    <w:p>
      <w:pPr>
        <w:jc w:val="center"/>
        <w:ind w:right="-1100"/>
        <w:spacing w:after="0"/>
        <w:rPr>
          <w:sz w:val="20"/>
          <w:szCs w:val="20"/>
          <w:color w:val="auto"/>
        </w:rPr>
      </w:pPr>
      <w:r>
        <w:rPr>
          <w:rFonts w:ascii="Times New Roman" w:cs="Times New Roman" w:eastAsia="Times New Roman" w:hAnsi="Times New Roman"/>
          <w:sz w:val="14"/>
          <w:szCs w:val="14"/>
          <w:color w:val="auto"/>
        </w:rPr>
        <w:t>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150495</wp:posOffset>
            </wp:positionV>
            <wp:extent cx="4697730" cy="6515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4697730" cy="651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719"/>
        <w:spacing w:after="0" w:line="258" w:lineRule="auto"/>
        <w:rPr>
          <w:sz w:val="20"/>
          <w:szCs w:val="20"/>
          <w:color w:val="auto"/>
        </w:rPr>
      </w:pPr>
      <w:r>
        <w:rPr>
          <w:rFonts w:ascii="Times New Roman" w:cs="Times New Roman" w:eastAsia="Times New Roman" w:hAnsi="Times New Roman"/>
          <w:sz w:val="22"/>
          <w:szCs w:val="22"/>
          <w:color w:val="auto"/>
        </w:rPr>
        <w:t>The drawing above summarizes the west bay on the first floor at the Sanford Center. Blue shaded area indicates 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2"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J. Reich, certify that:</w:t>
      </w:r>
    </w:p>
    <w:p>
      <w:pPr>
        <w:spacing w:after="0" w:line="117" w:lineRule="exact"/>
        <w:rPr>
          <w:sz w:val="20"/>
          <w:szCs w:val="20"/>
          <w:color w:val="auto"/>
        </w:rPr>
      </w:pPr>
    </w:p>
    <w:p>
      <w:pPr>
        <w:ind w:left="1360" w:hanging="1350"/>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SAB Biotherapeutics, Inc.;</w:t>
      </w:r>
    </w:p>
    <w:p>
      <w:pPr>
        <w:spacing w:after="0" w:line="225" w:lineRule="exact"/>
        <w:rPr>
          <w:rFonts w:ascii="Times New Roman" w:cs="Times New Roman" w:eastAsia="Times New Roman" w:hAnsi="Times New Roman"/>
          <w:sz w:val="18"/>
          <w:szCs w:val="18"/>
          <w:color w:val="auto"/>
        </w:rPr>
      </w:pPr>
    </w:p>
    <w:p>
      <w:pPr>
        <w:ind w:left="1360" w:right="200" w:hanging="1350"/>
        <w:spacing w:after="0" w:line="266" w:lineRule="auto"/>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60" w:right="160" w:hanging="1350"/>
        <w:spacing w:after="0" w:line="312" w:lineRule="auto"/>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60" w:right="360" w:hanging="1350"/>
        <w:spacing w:after="0" w:line="266" w:lineRule="auto"/>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720" w:right="160" w:hanging="1360"/>
        <w:spacing w:after="0" w:line="261" w:lineRule="auto"/>
        <w:tabs>
          <w:tab w:leader="none" w:pos="2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2720" w:right="140" w:hanging="1360"/>
        <w:spacing w:after="0" w:line="261" w:lineRule="auto"/>
        <w:tabs>
          <w:tab w:leader="none" w:pos="2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2720" w:right="180" w:hanging="1360"/>
        <w:spacing w:after="0" w:line="266" w:lineRule="auto"/>
        <w:tabs>
          <w:tab w:leader="none" w:pos="2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720" w:right="300" w:hanging="1360"/>
        <w:spacing w:after="0" w:line="261" w:lineRule="auto"/>
        <w:tabs>
          <w:tab w:leader="none" w:pos="2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1360" w:right="300" w:hanging="1350"/>
        <w:spacing w:after="0" w:line="266" w:lineRule="auto"/>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720" w:right="360" w:hanging="1360"/>
        <w:spacing w:after="0" w:line="266" w:lineRule="auto"/>
        <w:tabs>
          <w:tab w:leader="none" w:pos="2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720" w:right="180" w:hanging="1360"/>
        <w:spacing w:after="0" w:line="282" w:lineRule="auto"/>
        <w:tabs>
          <w:tab w:leader="none" w:pos="2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560" w:val="left"/>
          <w:tab w:leader="none" w:pos="78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18415</wp:posOffset>
            </wp:positionV>
            <wp:extent cx="33089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Samuel J. Reich</w:t>
      </w:r>
    </w:p>
    <w:p>
      <w:pPr>
        <w:spacing w:after="0" w:line="3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Lucy To, certify that:</w:t>
      </w:r>
    </w:p>
    <w:p>
      <w:pPr>
        <w:spacing w:after="0" w:line="117" w:lineRule="exact"/>
        <w:rPr>
          <w:sz w:val="20"/>
          <w:szCs w:val="20"/>
          <w:color w:val="auto"/>
        </w:rPr>
      </w:pPr>
    </w:p>
    <w:p>
      <w:pPr>
        <w:ind w:left="1360" w:hanging="1350"/>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SAB Biotherapeutics, Inc.;</w:t>
      </w:r>
    </w:p>
    <w:p>
      <w:pPr>
        <w:spacing w:after="0" w:line="225" w:lineRule="exact"/>
        <w:rPr>
          <w:rFonts w:ascii="Times New Roman" w:cs="Times New Roman" w:eastAsia="Times New Roman" w:hAnsi="Times New Roman"/>
          <w:sz w:val="18"/>
          <w:szCs w:val="18"/>
          <w:color w:val="auto"/>
        </w:rPr>
      </w:pPr>
    </w:p>
    <w:p>
      <w:pPr>
        <w:ind w:left="1360" w:right="200" w:hanging="1350"/>
        <w:spacing w:after="0" w:line="266" w:lineRule="auto"/>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60" w:right="160" w:hanging="1350"/>
        <w:spacing w:after="0" w:line="312" w:lineRule="auto"/>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60" w:right="360" w:hanging="1350"/>
        <w:spacing w:after="0" w:line="266" w:lineRule="auto"/>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720" w:right="160" w:hanging="1360"/>
        <w:spacing w:after="0" w:line="261" w:lineRule="auto"/>
        <w:tabs>
          <w:tab w:leader="none" w:pos="27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2720" w:right="140" w:hanging="1360"/>
        <w:spacing w:after="0" w:line="261" w:lineRule="auto"/>
        <w:tabs>
          <w:tab w:leader="none" w:pos="27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2720" w:right="180" w:hanging="1360"/>
        <w:spacing w:after="0" w:line="266" w:lineRule="auto"/>
        <w:tabs>
          <w:tab w:leader="none" w:pos="27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720" w:right="300" w:hanging="1360"/>
        <w:spacing w:after="0" w:line="261" w:lineRule="auto"/>
        <w:tabs>
          <w:tab w:leader="none" w:pos="27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1360" w:right="300" w:hanging="1350"/>
        <w:spacing w:after="0" w:line="266" w:lineRule="auto"/>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720" w:right="360" w:hanging="1360"/>
        <w:spacing w:after="0" w:line="266" w:lineRule="auto"/>
        <w:tabs>
          <w:tab w:leader="none" w:pos="27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720" w:right="180" w:hanging="1360"/>
        <w:spacing w:after="0" w:line="282" w:lineRule="auto"/>
        <w:tabs>
          <w:tab w:leader="none" w:pos="27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560" w:val="left"/>
          <w:tab w:leader="none" w:pos="808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Lucy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18415</wp:posOffset>
            </wp:positionV>
            <wp:extent cx="33089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8"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Lucy To</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SAB Biotherapeutics, Inc. (the “Company”) on Form 10-Q for the period ending March 31, 2026 as filed with the Securities and Exchange Commission on the date hereof (the “Report”), I certify, pursuant to 18 U.S.C. § 1350, as adopted pursuant to § 906 of the Sarbanes-Oxley Act of 2002, that:</w:t>
      </w:r>
    </w:p>
    <w:p>
      <w:pPr>
        <w:sectPr>
          <w:pgSz w:w="11900" w:h="16838" w:orient="portrait"/>
          <w:cols w:equalWidth="0" w:num="1">
            <w:col w:w="11240"/>
          </w:cols>
          <w:pgMar w:left="320" w:top="968" w:right="339" w:bottom="1440" w:gutter="0" w:footer="0" w:header="0"/>
        </w:sectPr>
      </w:pPr>
    </w:p>
    <w:p>
      <w:pPr>
        <w:spacing w:after="0" w:line="176"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6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18415</wp:posOffset>
            </wp:positionV>
            <wp:extent cx="330898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Samuel J. Reich</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747395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00" w:space="720"/>
            <w:col w:w="8520"/>
          </w:cols>
          <w:pgMar w:left="320" w:top="968" w:right="339"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SAB Biotherapeutics, Inc. (the “Company”) on Form 10-Q for the period ending March 31, 2026 as filed with the Securities and Exchange Commission on the date hereof (the “Report”), I certify, pursuant to 18 U.S.C. § 1350, as adopted pursuant to § 906 of the Sarbanes-Oxley Act of 2002, that:</w:t>
      </w:r>
    </w:p>
    <w:p>
      <w:pPr>
        <w:sectPr>
          <w:pgSz w:w="11900" w:h="16838" w:orient="portrait"/>
          <w:cols w:equalWidth="0" w:num="1">
            <w:col w:w="11240"/>
          </w:cols>
          <w:pgMar w:left="320" w:top="981" w:right="339" w:bottom="1440" w:gutter="0" w:footer="0" w:header="0"/>
        </w:sectPr>
      </w:pPr>
    </w:p>
    <w:p>
      <w:pPr>
        <w:spacing w:after="0" w:line="176"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60"/>
        <w:spacing w:after="0"/>
        <w:tabs>
          <w:tab w:leader="none" w:pos="5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Lucy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18415</wp:posOffset>
            </wp:positionV>
            <wp:extent cx="330898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Lucy To</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884555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00" w:space="720"/>
            <w:col w:w="8520"/>
          </w:cols>
          <w:pgMar w:left="320" w:top="981" w:right="339" w:bottom="1440" w:gutter="0" w:footer="0" w:header="0"/>
          <w:type w:val="continuous"/>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lvl w:ilvl="1">
      <w:lvlJc w:val="left"/>
      <w:lvlText w:val="(%2)"/>
      <w:numFmt w:val="decimal"/>
      <w:start w:val="1"/>
    </w:lvl>
  </w:abstractNum>
  <w:abstractNum w:abstractNumId="4">
    <w:nsid w:val="66EF438D"/>
    <w:multiLevelType w:val="hybridMultilevel"/>
    <w:lvl w:ilvl="0">
      <w:lvlJc w:val="left"/>
      <w:lvlText w:val="(%1)"/>
      <w:numFmt w:val="decimal"/>
      <w:start w:val="5"/>
    </w:lvl>
    <w:lvl w:ilvl="1">
      <w:lvlJc w:val="left"/>
      <w:lvlText w:val="%2"/>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Roman"/>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lvl w:ilvl="1">
      <w:lvlJc w:val="left"/>
      <w:lvlText w:val="(%2)"/>
      <w:numFmt w:val="decimal"/>
      <w:start w:val="1"/>
    </w:lvl>
  </w:abstractNum>
  <w:abstractNum w:abstractNumId="11">
    <w:nsid w:val="41A7C4C9"/>
    <w:multiLevelType w:val="hybridMultilevel"/>
    <w:lvl w:ilvl="0">
      <w:lvlJc w:val="left"/>
      <w:lvlText w:val="(%1)"/>
      <w:numFmt w:val="decimal"/>
      <w:start w:val="11"/>
    </w:lvl>
    <w:lvl w:ilvl="1">
      <w:lvlJc w:val="left"/>
      <w:lvlText w:val="%2"/>
      <w:numFmt w:val="decimal"/>
      <w:start w:val="1"/>
    </w:lvl>
  </w:abstractNum>
  <w:abstractNum w:abstractNumId="12">
    <w:nsid w:val="6B68079A"/>
    <w:multiLevelType w:val="hybridMultilevel"/>
    <w:lvl w:ilvl="0">
      <w:lvlJc w:val="left"/>
      <w:lvlText w:val="%1"/>
      <w:numFmt w:val="decimal"/>
      <w:start w:val="104"/>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upp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jpe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76" Type="http://schemas.openxmlformats.org/officeDocument/2006/relationships/hyperlink" Target="https://www.sec.gov/Archives/edgar/data/0001833214/000119312526114730/sabs-ex1_1.htm" TargetMode="External"/><Relationship Id="rId277" Type="http://schemas.openxmlformats.org/officeDocument/2006/relationships/hyperlink" Target="https://www.sec.gov/Archives/edgar/data/0001833214/000119312526114730/sabs-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2026-05-12T06:38:35Z</dcterms:created>
  <dcterms:modified xsi:type="dcterms:W3CDTF">2026-05-12T06:38:35Z</dcterms:modified>
</cp:coreProperties>
</file>