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February 4, 2021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Big Cypress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2"/>
              </w:rPr>
              <w:t>Delaware</w:t>
            </w:r>
          </w:p>
        </w:tc>
        <w:tc>
          <w:tcPr>
            <w:tcW w:w="3160" w:type="dxa"/>
            <w:vAlign w:val="bottom"/>
            <w:gridSpan w:val="6"/>
          </w:tcPr>
          <w:p>
            <w:pPr>
              <w:jc w:val="center"/>
              <w:ind w:left="1970"/>
              <w:spacing w:after="0"/>
              <w:rPr>
                <w:sz w:val="20"/>
                <w:szCs w:val="20"/>
                <w:color w:val="auto"/>
              </w:rPr>
            </w:pPr>
            <w:r>
              <w:rPr>
                <w:rFonts w:ascii="Arial" w:cs="Arial" w:eastAsia="Arial" w:hAnsi="Arial"/>
                <w:sz w:val="18"/>
                <w:szCs w:val="18"/>
                <w:color w:val="auto"/>
                <w:w w:val="90"/>
              </w:rPr>
              <w:t>001-39871</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60" w:type="dxa"/>
            <w:vAlign w:val="bottom"/>
          </w:tcPr>
          <w:p>
            <w:pPr>
              <w:jc w:val="center"/>
              <w:ind w:right="650"/>
              <w:spacing w:after="0"/>
              <w:rPr>
                <w:sz w:val="20"/>
                <w:szCs w:val="20"/>
                <w:color w:val="auto"/>
              </w:rPr>
            </w:pPr>
            <w:r>
              <w:rPr>
                <w:rFonts w:ascii="Arial" w:cs="Arial" w:eastAsia="Arial" w:hAnsi="Arial"/>
                <w:sz w:val="18"/>
                <w:szCs w:val="18"/>
                <w:color w:val="auto"/>
                <w:w w:val="91"/>
              </w:rPr>
              <w:t>85-3899721</w:t>
            </w:r>
          </w:p>
        </w:tc>
      </w:tr>
      <w:tr>
        <w:trPr>
          <w:trHeight w:val="202"/>
        </w:trPr>
        <w:tc>
          <w:tcPr>
            <w:tcW w:w="302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0"/>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4"/>
          </w:tcPr>
          <w:p>
            <w:pPr>
              <w:jc w:val="center"/>
              <w:ind w:right="1240"/>
              <w:spacing w:after="0" w:line="201" w:lineRule="exact"/>
              <w:rPr>
                <w:sz w:val="20"/>
                <w:szCs w:val="20"/>
                <w:color w:val="auto"/>
              </w:rPr>
            </w:pPr>
            <w:r>
              <w:rPr>
                <w:rFonts w:ascii="Arial" w:cs="Arial" w:eastAsia="Arial" w:hAnsi="Arial"/>
                <w:sz w:val="18"/>
                <w:szCs w:val="18"/>
                <w:color w:val="auto"/>
                <w:w w:val="91"/>
              </w:rPr>
              <w:t>(Commission</w:t>
            </w: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00" w:type="dxa"/>
            <w:vAlign w:val="bottom"/>
            <w:gridSpan w:val="6"/>
          </w:tcPr>
          <w:p>
            <w:pPr>
              <w:jc w:val="center"/>
              <w:ind w:right="2180"/>
              <w:spacing w:after="0"/>
              <w:rPr>
                <w:sz w:val="20"/>
                <w:szCs w:val="20"/>
                <w:color w:val="auto"/>
              </w:rPr>
            </w:pPr>
            <w:r>
              <w:rPr>
                <w:rFonts w:ascii="Arial" w:cs="Arial" w:eastAsia="Arial" w:hAnsi="Arial"/>
                <w:sz w:val="18"/>
                <w:szCs w:val="18"/>
                <w:color w:val="auto"/>
                <w:w w:val="92"/>
              </w:rPr>
              <w:t>File Number)</w:t>
            </w:r>
          </w:p>
        </w:tc>
        <w:tc>
          <w:tcPr>
            <w:tcW w:w="2860" w:type="dxa"/>
            <w:vAlign w:val="bottom"/>
          </w:tcPr>
          <w:p>
            <w:pPr>
              <w:jc w:val="center"/>
              <w:ind w:right="6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9"/>
          </w:tcPr>
          <w:p>
            <w:pPr>
              <w:jc w:val="center"/>
              <w:ind w:right="960"/>
              <w:spacing w:after="0"/>
              <w:rPr>
                <w:sz w:val="20"/>
                <w:szCs w:val="20"/>
                <w:color w:val="auto"/>
              </w:rPr>
            </w:pPr>
            <w:r>
              <w:rPr>
                <w:rFonts w:ascii="Arial" w:cs="Arial" w:eastAsia="Arial" w:hAnsi="Arial"/>
                <w:sz w:val="18"/>
                <w:szCs w:val="18"/>
                <w:color w:val="auto"/>
                <w:w w:val="89"/>
              </w:rPr>
              <w:t>300 W. 41st Street, Suite 202</w:t>
            </w:r>
          </w:p>
        </w:tc>
        <w:tc>
          <w:tcPr>
            <w:tcW w:w="2860" w:type="dxa"/>
            <w:vAlign w:val="bottom"/>
          </w:tcPr>
          <w:p>
            <w:pPr>
              <w:spacing w:after="0"/>
              <w:rPr>
                <w:sz w:val="24"/>
                <w:szCs w:val="24"/>
                <w:color w:val="auto"/>
              </w:rPr>
            </w:pPr>
          </w:p>
        </w:tc>
      </w:tr>
      <w:tr>
        <w:trPr>
          <w:trHeight w:val="190"/>
        </w:trPr>
        <w:tc>
          <w:tcPr>
            <w:tcW w:w="3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40" w:type="dxa"/>
            <w:vAlign w:val="bottom"/>
            <w:gridSpan w:val="8"/>
          </w:tcPr>
          <w:p>
            <w:pPr>
              <w:jc w:val="center"/>
              <w:ind w:right="1880"/>
              <w:spacing w:after="0" w:line="190" w:lineRule="exact"/>
              <w:rPr>
                <w:sz w:val="20"/>
                <w:szCs w:val="20"/>
                <w:color w:val="auto"/>
              </w:rPr>
            </w:pPr>
            <w:r>
              <w:rPr>
                <w:rFonts w:ascii="Arial" w:cs="Arial" w:eastAsia="Arial" w:hAnsi="Arial"/>
                <w:sz w:val="18"/>
                <w:szCs w:val="18"/>
                <w:color w:val="auto"/>
                <w:w w:val="92"/>
              </w:rPr>
              <w:t>Miami Beach, FL 33140</w:t>
            </w:r>
          </w:p>
        </w:tc>
        <w:tc>
          <w:tcPr>
            <w:tcW w:w="2860" w:type="dxa"/>
            <w:vAlign w:val="bottom"/>
          </w:tcPr>
          <w:p>
            <w:pPr>
              <w:spacing w:after="0"/>
              <w:rPr>
                <w:sz w:val="16"/>
                <w:szCs w:val="16"/>
                <w:color w:val="auto"/>
              </w:rPr>
            </w:pPr>
          </w:p>
        </w:tc>
      </w:tr>
      <w:tr>
        <w:trPr>
          <w:trHeight w:val="20"/>
        </w:trPr>
        <w:tc>
          <w:tcPr>
            <w:tcW w:w="3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237"/>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10"/>
          </w:tcPr>
          <w:p>
            <w:pPr>
              <w:jc w:val="center"/>
              <w:ind w:right="740"/>
              <w:spacing w:after="0"/>
              <w:rPr>
                <w:sz w:val="20"/>
                <w:szCs w:val="20"/>
                <w:color w:val="auto"/>
              </w:rPr>
            </w:pPr>
            <w:r>
              <w:rPr>
                <w:rFonts w:ascii="Arial" w:cs="Arial" w:eastAsia="Arial" w:hAnsi="Arial"/>
                <w:sz w:val="18"/>
                <w:szCs w:val="18"/>
                <w:color w:val="auto"/>
                <w:w w:val="93"/>
              </w:rPr>
              <w:t>(Address of Principal Executive Offices) (Zip Code)</w:t>
            </w:r>
          </w:p>
        </w:tc>
        <w:tc>
          <w:tcPr>
            <w:tcW w:w="2860" w:type="dxa"/>
            <w:vAlign w:val="bottom"/>
          </w:tcPr>
          <w:p>
            <w:pPr>
              <w:spacing w:after="0"/>
              <w:rPr>
                <w:sz w:val="20"/>
                <w:szCs w:val="20"/>
                <w:color w:val="auto"/>
              </w:rPr>
            </w:pPr>
          </w:p>
        </w:tc>
      </w:tr>
      <w:tr>
        <w:trPr>
          <w:trHeight w:val="392"/>
        </w:trPr>
        <w:tc>
          <w:tcPr>
            <w:tcW w:w="3020" w:type="dxa"/>
            <w:vAlign w:val="bottom"/>
          </w:tcPr>
          <w:p>
            <w:pPr>
              <w:spacing w:after="0"/>
              <w:rPr>
                <w:sz w:val="24"/>
                <w:szCs w:val="24"/>
                <w:color w:val="auto"/>
              </w:rPr>
            </w:pPr>
          </w:p>
        </w:tc>
        <w:tc>
          <w:tcPr>
            <w:tcW w:w="2040" w:type="dxa"/>
            <w:vAlign w:val="bottom"/>
            <w:gridSpan w:val="4"/>
          </w:tcPr>
          <w:p>
            <w:pPr>
              <w:spacing w:after="0"/>
              <w:rPr>
                <w:sz w:val="24"/>
                <w:szCs w:val="24"/>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(305) 204-3338</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10"/>
          </w:tcPr>
          <w:p>
            <w:pPr>
              <w:jc w:val="center"/>
              <w:ind w:right="760"/>
              <w:spacing w:after="0"/>
              <w:rPr>
                <w:sz w:val="20"/>
                <w:szCs w:val="20"/>
                <w:color w:val="auto"/>
              </w:rPr>
            </w:pPr>
            <w:r>
              <w:rPr>
                <w:rFonts w:ascii="Arial" w:cs="Arial" w:eastAsia="Arial" w:hAnsi="Arial"/>
                <w:sz w:val="18"/>
                <w:szCs w:val="18"/>
                <w:color w:val="auto"/>
                <w:w w:val="91"/>
              </w:rPr>
              <w:t>(Registrant’s Telephone Number, Including Area Code)</w:t>
            </w:r>
          </w:p>
        </w:tc>
        <w:tc>
          <w:tcPr>
            <w:tcW w:w="2860" w:type="dxa"/>
            <w:vAlign w:val="bottom"/>
          </w:tcPr>
          <w:p>
            <w:pPr>
              <w:spacing w:after="0"/>
              <w:rPr>
                <w:sz w:val="20"/>
                <w:szCs w:val="20"/>
                <w:color w:val="auto"/>
              </w:rPr>
            </w:pPr>
          </w:p>
        </w:tc>
      </w:tr>
      <w:tr>
        <w:trPr>
          <w:trHeight w:val="391"/>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Not Applicable</w:t>
            </w:r>
          </w:p>
        </w:tc>
        <w:tc>
          <w:tcPr>
            <w:tcW w:w="2200" w:type="dxa"/>
            <w:vAlign w:val="bottom"/>
            <w:gridSpan w:val="5"/>
          </w:tcPr>
          <w:p>
            <w:pPr>
              <w:spacing w:after="0"/>
              <w:rPr>
                <w:sz w:val="24"/>
                <w:szCs w:val="24"/>
                <w:color w:val="auto"/>
              </w:rPr>
            </w:pPr>
          </w:p>
        </w:tc>
        <w:tc>
          <w:tcPr>
            <w:tcW w:w="286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5360" w:type="dxa"/>
            <w:vAlign w:val="bottom"/>
            <w:gridSpan w:val="11"/>
          </w:tcPr>
          <w:p>
            <w:pPr>
              <w:jc w:val="center"/>
              <w:ind w:right="1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60" w:type="dxa"/>
            <w:vAlign w:val="bottom"/>
          </w:tcPr>
          <w:p>
            <w:pPr>
              <w:spacing w:after="0"/>
              <w:rPr>
                <w:sz w:val="20"/>
                <w:szCs w:val="20"/>
                <w:color w:val="auto"/>
              </w:rPr>
            </w:pPr>
          </w:p>
        </w:tc>
      </w:tr>
    </w:tbl>
    <w:p>
      <w:pPr>
        <w:spacing w:after="0" w:line="202" w:lineRule="exact"/>
        <w:rPr>
          <w:sz w:val="24"/>
          <w:szCs w:val="24"/>
          <w:color w:val="auto"/>
        </w:rPr>
      </w:pPr>
    </w:p>
    <w:p>
      <w:pPr>
        <w:jc w:val="both"/>
        <w:ind w:left="20"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8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Units, each consisting of one share of Common</w:t>
            </w:r>
          </w:p>
        </w:tc>
        <w:tc>
          <w:tcPr>
            <w:tcW w:w="220" w:type="dxa"/>
            <w:vAlign w:val="bottom"/>
          </w:tcPr>
          <w:p>
            <w:pPr>
              <w:spacing w:after="0"/>
              <w:rPr>
                <w:sz w:val="17"/>
                <w:szCs w:val="17"/>
                <w:color w:val="auto"/>
              </w:rPr>
            </w:pPr>
          </w:p>
        </w:tc>
        <w:tc>
          <w:tcPr>
            <w:tcW w:w="29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BCYPU</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Stock and one half of one redeemable warrant</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Common Stock, par value $0.0001 per share</w:t>
            </w: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BCYP</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w w:val="98"/>
              </w:rPr>
              <w:t>Redeemable warrants, each warrant exercisable</w:t>
            </w:r>
          </w:p>
        </w:tc>
        <w:tc>
          <w:tcPr>
            <w:tcW w:w="31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BCYPW</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for one share of Common Stock at an exercise</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price of $11.50</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4, 2021, Big Cypress Acquisition Corp. (the “</w:t>
      </w:r>
      <w:r>
        <w:rPr>
          <w:rFonts w:ascii="Arial" w:cs="Arial" w:eastAsia="Arial" w:hAnsi="Arial"/>
          <w:sz w:val="17"/>
          <w:szCs w:val="17"/>
          <w:u w:val="single" w:color="auto"/>
          <w:color w:val="auto"/>
        </w:rPr>
        <w:t>Company</w:t>
      </w:r>
      <w:r>
        <w:rPr>
          <w:rFonts w:ascii="Arial" w:cs="Arial" w:eastAsia="Arial" w:hAnsi="Arial"/>
          <w:sz w:val="17"/>
          <w:szCs w:val="17"/>
          <w:color w:val="auto"/>
        </w:rPr>
        <w:t>”) announced that the holders of the Company’s units sold in the Company’s initial public offering (the “Units”) may elect to separately trade the shares of common stock (the “Common Stock”) and redeemable warrants included in the Units commencing on February 9, 2021. Each Unit consists of one share of Common Stock and one-half of one redeemable warrant to purchase one share of Common Stock. Any Units not separated will continue to trade on the Nasdaq Stock Market LLC (“Nasdaq”) under the symbol “BCYPU.” Any underlying shares of Common Stock and redeemable warrants that are separated will trade on the Nasdaq under the symbols “BCYP” and “BCYPW,” respectively. No fractional warrants will be issued upon separation of the Units and only whole warrants will trade. Holders of Units will need to have their brokers contact Continental Stock Transfer &amp; Trust Company, the Company’s transfer agent, in order to separate such holders’ Units into shares of Common Stock and redeemable warrants.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copy of the press release issued by the Company announcing the separate trading of the securities underlying the Units is attached hereto as Exhibit 99.1.</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report may include “forward-looking statements” within the meaning of Section 27A of the Securities Act of 1933, as amended, and Section 21E of the Securities Exchange Act of 1934, as amended. All statements other than statements of historical fact included in this report are forward-looking statements. When used in this report, words such as “anticipate,” “believe,” “estimate,” “expect,” “intend” and similar expressions, as they relate to us or our management team,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the Company’s filings with the Securities and Exchange Commission (the “SEC”). All subsequent written or oral forward-looking statements attributable to us or persons acting on our behalf are qualified in their entirety by this paragraph. Forward-looking statements are subject to numerous conditions, many of which are beyond the control of the Company, including those set forth in the Risk Factors section of the Company’s registration statements and prospectus relating to the Company’s initial public offering filed with the SEC. Copies of such filings are available on the SEC’s website, www.sec.gov. The Company undertakes no obligation to update these statements for revisions or changes after the date of this release,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 and Exhibits.</w:t>
      </w:r>
    </w:p>
    <w:p>
      <w:pPr>
        <w:spacing w:after="0" w:line="229" w:lineRule="exact"/>
        <w:rPr>
          <w:sz w:val="20"/>
          <w:szCs w:val="20"/>
          <w:color w:val="auto"/>
        </w:rPr>
      </w:pPr>
    </w:p>
    <w:p>
      <w:pPr>
        <w:jc w:val="right"/>
        <w:ind w:left="20" w:right="9600" w:firstLine="636"/>
        <w:spacing w:after="0" w:line="555" w:lineRule="auto"/>
        <w:tabs>
          <w:tab w:leader="none" w:pos="988"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Description</w:t>
      </w:r>
    </w:p>
    <w:p>
      <w:pPr>
        <w:ind w:left="20"/>
        <w:spacing w:after="0"/>
        <w:rPr>
          <w:rFonts w:ascii="Arial" w:cs="Arial" w:eastAsia="Arial" w:hAnsi="Arial"/>
          <w:sz w:val="15"/>
          <w:szCs w:val="15"/>
          <w:u w:val="single" w:color="auto"/>
          <w:color w:val="0000EE"/>
        </w:rPr>
      </w:pPr>
      <w:r>
        <w:rPr>
          <w:rFonts w:ascii="Arial" w:cs="Arial" w:eastAsia="Arial" w:hAnsi="Arial"/>
          <w:sz w:val="18"/>
          <w:szCs w:val="18"/>
          <w:color w:val="auto"/>
        </w:rPr>
        <w:t>99.1</w:t>
      </w:r>
      <w:hyperlink w:anchor="page4">
        <w:r>
          <w:rPr>
            <w:rFonts w:ascii="Arial" w:cs="Arial" w:eastAsia="Arial" w:hAnsi="Arial"/>
            <w:sz w:val="15"/>
            <w:szCs w:val="15"/>
            <w:u w:val="single" w:color="auto"/>
            <w:color w:val="0000EE"/>
          </w:rPr>
          <w:t>Press Release, dated February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Big Cypress Acquisition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Samuel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Samuel J. Reich</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left="340" w:right="40"/>
        <w:spacing w:after="0" w:line="282" w:lineRule="auto"/>
        <w:rPr>
          <w:sz w:val="20"/>
          <w:szCs w:val="20"/>
          <w:color w:val="auto"/>
        </w:rPr>
      </w:pPr>
      <w:r>
        <w:rPr>
          <w:rFonts w:ascii="Arial" w:cs="Arial" w:eastAsia="Arial" w:hAnsi="Arial"/>
          <w:sz w:val="18"/>
          <w:szCs w:val="18"/>
          <w:b w:val="1"/>
          <w:bCs w:val="1"/>
          <w:color w:val="auto"/>
        </w:rPr>
        <w:t>Big Cypress Acquisition Corp. Announces Separate Trading of its Shares of Common Stock and Redeemable Warrants Commencing February 9, 2021</w:t>
      </w:r>
    </w:p>
    <w:p>
      <w:pPr>
        <w:spacing w:after="0" w:line="16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MIAMI, FL </w:t>
      </w:r>
      <w:r>
        <w:rPr>
          <w:rFonts w:ascii="Arial" w:cs="Arial" w:eastAsia="Arial" w:hAnsi="Arial"/>
          <w:sz w:val="16"/>
          <w:szCs w:val="16"/>
          <w:color w:val="auto"/>
        </w:rPr>
        <w:t>– February 4, 2021 – Big Cypress Acquisition Corp. (the “Company”) announced that, commencing February 9, 2021, holders of the units</w:t>
      </w:r>
      <w:r>
        <w:rPr>
          <w:rFonts w:ascii="Arial" w:cs="Arial" w:eastAsia="Arial" w:hAnsi="Arial"/>
          <w:sz w:val="16"/>
          <w:szCs w:val="16"/>
          <w:b w:val="1"/>
          <w:bCs w:val="1"/>
          <w:color w:val="auto"/>
        </w:rPr>
        <w:t xml:space="preserve"> </w:t>
      </w:r>
      <w:r>
        <w:rPr>
          <w:rFonts w:ascii="Arial" w:cs="Arial" w:eastAsia="Arial" w:hAnsi="Arial"/>
          <w:sz w:val="16"/>
          <w:szCs w:val="16"/>
          <w:color w:val="auto"/>
        </w:rPr>
        <w:t>sold in the Company’s initial public offering of 11,500,000 units may elect to separately trade the shares of common stock and redeemable warrants included in the units. Those units not separated will continue to trade on The Nasdaq Stock Market (“Nasdaq”) under the symbol “BCYPU,” and the shares of common stock and redeemable warrants that are separated will trade on Nasdaq under the symbols “BCYP” and “BCYPW,” respectively. No fractional warrants will be issued upon separation of the units and only whole warrants will trade. Holders of units will need to have their brokers contact Continental Stock Transfer &amp; Trust Company, the Company’s transfer agent, in order to separate the units into shares of common stock and redeemable warrants.</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Ladenburg Thalmann &amp; Co. Inc. acted as sole book running manager in the offering. Brookline Capital Markets, a division of Arcadia Securities, LLC, acted as co-manager of the offering. Dentons US LLP acted as counsel to the Company and Graubard Miller acted as counsel to the underwriters.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registration statement relating to these securities was declared effective by the U.S. Securities and Exchange Commission (the “SEC”) on January 11, 2021.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offering is being made only by means of a prospectus. Copies of the prospectus relating to this offering may be obtained from Ladenburg Thalmann, Attn: Syndicate Department, 277 Park Avenue, 26th floor, New York, New York 10172, Attn: Syndicate Department, telephone: 1-800-573-2541 or email: prospectus@ladenburg.com.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Big Cypress Acquisition Corp.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Big Cypress Acquisition Corp. is a blank check company formed for the purpose of effecting a merger, share exchange, asset acquisition, share purchase, reorganization or similar business combination with one or more businesses. Although the Company may pursue a target business in any industry or sector, and in any geographic region, the Company intends to focus its search for prospects within the life sciences industry. The Company is led by Chief Executive Officer, Chief Financial Officer and Director Samuel J. Reich.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may include “forward-looking statements” within the meaning of Section 27A of the Securities Act of 1933, as amended, and Section 21E of the Securities Exchange Act of 1934, as amended. All statements other than statements of historical fact included in this press release are forward-looking statements. When used in this press release, words such as “anticipate,” “believe,” “estimate,” “expect,” “intend” and similar expressions, as they relate to us or our management team,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the Company’s filings with the SEC. All subsequent written or oral forward-looking statements attributable to us or persons acting on our behalf are qualified in their entirety by this paragraph. Forward-looking statements are subject to numerous conditions, many of which are beyond the control of the Company, including those set forth in the Risk Factors section of the Company’s registration statement and prospectus relating to the Company’s initial public offering filed with the SEC. The Company undertakes no obligation to update these statements for revisions or changes after the date of this release,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Samuel J. Reich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ir@bigcypressaccorp.com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2021-02-04T07:31:44Z</dcterms:created>
  <dcterms:modified xsi:type="dcterms:W3CDTF">2021-02-04T07:31:44Z</dcterms:modified>
</cp:coreProperties>
</file>