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4000" w:right="940" w:hanging="3052"/>
        <w:spacing w:after="0" w:line="484" w:lineRule="auto"/>
        <w:tabs>
          <w:tab w:leader="none" w:pos="115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September 30, 2021</w:t>
      </w:r>
    </w:p>
    <w:p>
      <w:pPr>
        <w:spacing w:after="0" w:line="29" w:lineRule="exact"/>
        <w:rPr>
          <w:rFonts w:ascii="MS PGothic" w:cs="MS PGothic" w:eastAsia="MS PGothic" w:hAnsi="MS PGothic"/>
          <w:sz w:val="18"/>
          <w:szCs w:val="18"/>
          <w:color w:val="auto"/>
        </w:rPr>
      </w:pPr>
    </w:p>
    <w:p>
      <w:pPr>
        <w:jc w:val="center"/>
        <w:ind w:left="4360" w:right="940" w:hanging="3419"/>
        <w:spacing w:after="0" w:line="500" w:lineRule="auto"/>
        <w:tabs>
          <w:tab w:leader="none" w:pos="11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SAB BIOTHERAPEUTICS,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jc w:val="center"/>
              <w:ind w:right="570"/>
              <w:spacing w:after="0"/>
              <w:rPr>
                <w:sz w:val="20"/>
                <w:szCs w:val="20"/>
                <w:color w:val="auto"/>
              </w:rPr>
            </w:pPr>
            <w:r>
              <w:rPr>
                <w:rFonts w:ascii="Arial" w:cs="Arial" w:eastAsia="Arial" w:hAnsi="Arial"/>
                <w:sz w:val="18"/>
                <w:szCs w:val="18"/>
                <w:b w:val="1"/>
                <w:bCs w:val="1"/>
                <w:color w:val="auto"/>
                <w:w w:val="93"/>
              </w:rPr>
              <w:t>Delaware</w:t>
            </w:r>
          </w:p>
        </w:tc>
        <w:tc>
          <w:tcPr>
            <w:tcW w:w="24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001-39871</w:t>
            </w:r>
          </w:p>
        </w:tc>
        <w:tc>
          <w:tcPr>
            <w:tcW w:w="220" w:type="dxa"/>
            <w:vAlign w:val="bottom"/>
          </w:tcPr>
          <w:p>
            <w:pPr>
              <w:spacing w:after="0"/>
              <w:rPr>
                <w:sz w:val="19"/>
                <w:szCs w:val="19"/>
                <w:color w:val="auto"/>
              </w:rPr>
            </w:pPr>
          </w:p>
        </w:tc>
        <w:tc>
          <w:tcPr>
            <w:tcW w:w="4260" w:type="dxa"/>
            <w:vAlign w:val="bottom"/>
          </w:tcPr>
          <w:p>
            <w:pPr>
              <w:jc w:val="right"/>
              <w:ind w:right="1270"/>
              <w:spacing w:after="0"/>
              <w:rPr>
                <w:sz w:val="20"/>
                <w:szCs w:val="20"/>
                <w:color w:val="auto"/>
              </w:rPr>
            </w:pPr>
            <w:r>
              <w:rPr>
                <w:rFonts w:ascii="Arial" w:cs="Arial" w:eastAsia="Arial" w:hAnsi="Arial"/>
                <w:sz w:val="18"/>
                <w:szCs w:val="18"/>
                <w:b w:val="1"/>
                <w:bCs w:val="1"/>
                <w:color w:val="auto"/>
              </w:rPr>
              <w:t>85-3899721</w:t>
            </w:r>
          </w:p>
        </w:tc>
      </w:tr>
      <w:tr>
        <w:trPr>
          <w:trHeight w:val="216"/>
        </w:trPr>
        <w:tc>
          <w:tcPr>
            <w:tcW w:w="4280" w:type="dxa"/>
            <w:vAlign w:val="bottom"/>
          </w:tcPr>
          <w:p>
            <w:pPr>
              <w:jc w:val="center"/>
              <w:ind w:right="610"/>
              <w:spacing w:after="0"/>
              <w:rPr>
                <w:sz w:val="20"/>
                <w:szCs w:val="20"/>
                <w:color w:val="auto"/>
              </w:rPr>
            </w:pPr>
            <w:r>
              <w:rPr>
                <w:rFonts w:ascii="Arial" w:cs="Arial" w:eastAsia="Arial" w:hAnsi="Arial"/>
                <w:sz w:val="18"/>
                <w:szCs w:val="18"/>
                <w:color w:val="auto"/>
                <w:w w:val="88"/>
              </w:rPr>
              <w:t>(State or other</w:t>
            </w: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(Commission File</w:t>
            </w:r>
          </w:p>
        </w:tc>
        <w:tc>
          <w:tcPr>
            <w:tcW w:w="426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4280" w:type="dxa"/>
            <w:vAlign w:val="bottom"/>
          </w:tcPr>
          <w:p>
            <w:pPr>
              <w:jc w:val="center"/>
              <w:ind w:right="570"/>
              <w:spacing w:after="0"/>
              <w:rPr>
                <w:sz w:val="20"/>
                <w:szCs w:val="20"/>
                <w:color w:val="auto"/>
              </w:rPr>
            </w:pPr>
            <w:r>
              <w:rPr>
                <w:rFonts w:ascii="Arial" w:cs="Arial" w:eastAsia="Arial" w:hAnsi="Arial"/>
                <w:sz w:val="18"/>
                <w:szCs w:val="18"/>
                <w:color w:val="auto"/>
                <w:w w:val="95"/>
              </w:rPr>
              <w:t>jurisdiction of incorporation)</w:t>
            </w:r>
          </w:p>
        </w:tc>
        <w:tc>
          <w:tcPr>
            <w:tcW w:w="240" w:type="dxa"/>
            <w:vAlign w:val="bottom"/>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Number)</w:t>
            </w:r>
          </w:p>
        </w:tc>
        <w:tc>
          <w:tcPr>
            <w:tcW w:w="426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9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2100 East 54th Street North</w:t>
            </w:r>
          </w:p>
        </w:tc>
        <w:tc>
          <w:tcPr>
            <w:tcW w:w="4260" w:type="dxa"/>
            <w:vAlign w:val="bottom"/>
          </w:tcPr>
          <w:p>
            <w:pPr>
              <w:spacing w:after="0"/>
              <w:rPr>
                <w:sz w:val="24"/>
                <w:szCs w:val="24"/>
                <w:color w:val="auto"/>
              </w:rPr>
            </w:pPr>
          </w:p>
        </w:tc>
      </w:tr>
      <w:tr>
        <w:trPr>
          <w:trHeight w:val="220"/>
        </w:trPr>
        <w:tc>
          <w:tcPr>
            <w:tcW w:w="69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Sioux Falls, South Dakota</w:t>
            </w:r>
          </w:p>
        </w:tc>
        <w:tc>
          <w:tcPr>
            <w:tcW w:w="4260" w:type="dxa"/>
            <w:vAlign w:val="bottom"/>
          </w:tcPr>
          <w:p>
            <w:pPr>
              <w:jc w:val="right"/>
              <w:ind w:right="1490"/>
              <w:spacing w:after="0"/>
              <w:rPr>
                <w:sz w:val="20"/>
                <w:szCs w:val="20"/>
                <w:color w:val="auto"/>
              </w:rPr>
            </w:pPr>
            <w:r>
              <w:rPr>
                <w:rFonts w:ascii="Arial" w:cs="Arial" w:eastAsia="Arial" w:hAnsi="Arial"/>
                <w:sz w:val="18"/>
                <w:szCs w:val="18"/>
                <w:b w:val="1"/>
                <w:bCs w:val="1"/>
                <w:color w:val="auto"/>
              </w:rPr>
              <w:t>57104</w:t>
            </w:r>
          </w:p>
        </w:tc>
      </w:tr>
      <w:tr>
        <w:trPr>
          <w:trHeight w:val="230"/>
        </w:trPr>
        <w:tc>
          <w:tcPr>
            <w:tcW w:w="6980" w:type="dxa"/>
            <w:vAlign w:val="bottom"/>
            <w:gridSpan w:val="4"/>
          </w:tcPr>
          <w:p>
            <w:pPr>
              <w:jc w:val="center"/>
              <w:ind w:left="370"/>
              <w:spacing w:after="0"/>
              <w:rPr>
                <w:sz w:val="20"/>
                <w:szCs w:val="20"/>
                <w:color w:val="auto"/>
              </w:rPr>
            </w:pPr>
            <w:r>
              <w:rPr>
                <w:rFonts w:ascii="Arial" w:cs="Arial" w:eastAsia="Arial" w:hAnsi="Arial"/>
                <w:sz w:val="18"/>
                <w:szCs w:val="18"/>
                <w:color w:val="auto"/>
                <w:w w:val="92"/>
              </w:rPr>
              <w:t>(Address of principal executive offices)</w:t>
            </w:r>
          </w:p>
        </w:tc>
        <w:tc>
          <w:tcPr>
            <w:tcW w:w="4260" w:type="dxa"/>
            <w:vAlign w:val="bottom"/>
          </w:tcPr>
          <w:p>
            <w:pPr>
              <w:jc w:val="center"/>
              <w:ind w:left="570"/>
              <w:spacing w:after="0"/>
              <w:rPr>
                <w:sz w:val="20"/>
                <w:szCs w:val="20"/>
                <w:color w:val="auto"/>
              </w:rPr>
            </w:pPr>
            <w:r>
              <w:rPr>
                <w:rFonts w:ascii="Arial" w:cs="Arial" w:eastAsia="Arial" w:hAnsi="Arial"/>
                <w:sz w:val="18"/>
                <w:szCs w:val="18"/>
                <w:color w:val="auto"/>
                <w:w w:val="94"/>
              </w:rPr>
              <w:t>(Zip Code)</w:t>
            </w:r>
          </w:p>
        </w:tc>
      </w:tr>
      <w:tr>
        <w:trPr>
          <w:trHeight w:val="432"/>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605-679-6980</w:t>
            </w:r>
          </w:p>
        </w:tc>
      </w:tr>
      <w:tr>
        <w:trPr>
          <w:trHeight w:val="414"/>
        </w:trPr>
        <w:tc>
          <w:tcPr>
            <w:tcW w:w="428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Big Cypress Acquisition Corp.</w:t>
            </w:r>
          </w:p>
        </w:tc>
        <w:tc>
          <w:tcPr>
            <w:tcW w:w="426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300 W. 41st Street, Suite 202</w:t>
            </w:r>
          </w:p>
        </w:tc>
        <w:tc>
          <w:tcPr>
            <w:tcW w:w="4260" w:type="dxa"/>
            <w:vAlign w:val="bottom"/>
          </w:tcPr>
          <w:p>
            <w:pPr>
              <w:spacing w:after="0"/>
              <w:rPr>
                <w:sz w:val="18"/>
                <w:szCs w:val="18"/>
                <w:color w:val="auto"/>
              </w:rPr>
            </w:pP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Miami Beach, FL 33140</w:t>
            </w:r>
          </w:p>
        </w:tc>
        <w:tc>
          <w:tcPr>
            <w:tcW w:w="4260" w:type="dxa"/>
            <w:vAlign w:val="bottom"/>
          </w:tcPr>
          <w:p>
            <w:pPr>
              <w:spacing w:after="0"/>
              <w:rPr>
                <w:sz w:val="19"/>
                <w:szCs w:val="19"/>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280" w:type="dxa"/>
            <w:vAlign w:val="bottom"/>
          </w:tcPr>
          <w:p>
            <w:pPr>
              <w:ind w:left="4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5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SABS</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89"/>
              </w:rPr>
              <w:t>Warrants, each exercisable for one share of Common Stock</w:t>
            </w: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SABSW</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8"/>
              </w:rPr>
              <w:t>at an exercise price of $11.50 per share</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15, 2021, there were issued and outstanding 43,474,779 shares of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024"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22, 2021 (the “Closing Date”), subsequent to the fiscal quarter ended September 30, 2021, the fiscal quarter to which this Quarterly Report on Form 10-Q (this “Report”) relates, SAB Biotherapeutics, Inc., a Delaware corporation (“SAB Biotherapeutics” or the “Company”) (f/k/a Big Cypress Acquisition Corp. (“BCYP”)), consummated the previously announced merger (the “Closing”) pursuant to that certain Merger Agreement and Plan of Reorganization, dated June 21, 2021 (as amended, modified, supplemented or waived, the “Merger Agreement”), by and among BCYP, Big Cypress Merger Sub Inc., a Delaware corporation and wholly-owned subsidiary of BCYP (“Merger Sub”), and the entity formerly known as SAB Biotherapeutics, Inc., a Delaware corporation (“OLD SAB”).</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Merger Agreement, a business combination between BCYP and OLD SAB was effected through the (a) merger of Merger Sub with and into OLD SAB with OLD SAB surviving as a wholly owned subsidiary of BCYP (the “Merger” and, collectively with the other transactions described in the Merger Agreement, the “Business Combination”). Upon the closing of the Merger, OLD SAB was renamed SAB Sciences, Inc. (in its capacity as the surviving corporation of the merger, the “Surviving Corporation”). On the Closing Date, the registrant changed its name from Big Cypress Acquisition Corp. to SAB Biotherapeutics, Inc.</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Unless stated otherwise, this report contains information about BCYP before the Business Combination. This Report covers a period prior to the closing of the Business Combination. As a result, references in this report to “we,” “us,” “our,” or the “Company” refer to the registrant prior to the closing of the Business Combination, unless the context requires otherwise.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expressly provided herein, the information in this Report does not reflect the consummation of the Business Combination, which, as discussed above, occurred subsequent to the period covered 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62"/>
        </w:trPr>
        <w:tc>
          <w:tcPr>
            <w:tcW w:w="10600" w:type="dxa"/>
            <w:vAlign w:val="bottom"/>
            <w:gridSpan w:val="20"/>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Part I. 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6"/>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September 30, 2021 (Unaudited) and December 31, 2020</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 of Operations for the three and nine months ended September 30, 2021 (Unaudited)</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Statement of Changes in Stockholders’ Equity (Deficit) for the three and nine months ended September 30, 2021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8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 of Cash Flows for the nine months ended September 30, 2021 (Unaudited)</w:t>
              </w:r>
            </w:hyperlink>
          </w:p>
        </w:tc>
        <w:tc>
          <w:tcPr>
            <w:tcW w:w="3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3. Quantitative and Qualitative Disclosures Regarding Market Risk</w:t>
              </w:r>
            </w:hyperlink>
          </w:p>
        </w:tc>
        <w:tc>
          <w:tcPr>
            <w:tcW w:w="52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 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1A. Risk Factors</w:t>
              </w:r>
            </w:hyperlink>
          </w:p>
        </w:tc>
        <w:tc>
          <w:tcPr>
            <w:tcW w:w="88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8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Mine Safety Disclosures</w:t>
              </w:r>
            </w:hyperlink>
          </w:p>
        </w:tc>
        <w:tc>
          <w:tcPr>
            <w:tcW w:w="75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5. Other Information</w:t>
              </w:r>
            </w:hyperlink>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80" w:type="dxa"/>
            <w:vAlign w:val="bottom"/>
          </w:tcPr>
          <w:p>
            <w:pPr>
              <w:spacing w:after="0"/>
              <w:rPr>
                <w:sz w:val="15"/>
                <w:szCs w:val="15"/>
                <w:color w:val="auto"/>
              </w:rPr>
            </w:pPr>
          </w:p>
        </w:tc>
        <w:tc>
          <w:tcPr>
            <w:tcW w:w="10420" w:type="dxa"/>
            <w:vAlign w:val="bottom"/>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 Exhibits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Part III. Signatures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466"/>
        </w:trPr>
        <w:tc>
          <w:tcPr>
            <w:tcW w:w="6860" w:type="dxa"/>
            <w:vAlign w:val="bottom"/>
            <w:tcBorders>
              <w:bottom w:val="single" w:sz="8" w:color="auto"/>
            </w:tcBorders>
            <w:gridSpan w:val="15"/>
          </w:tcPr>
          <w:p>
            <w:pPr>
              <w:jc w:val="right"/>
              <w:ind w:right="118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Financial Statements.</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w w:val="95"/>
              </w:rPr>
              <w:t>September 30, 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6"/>
              </w:rPr>
              <w:t>December 31, 2020</w:t>
            </w:r>
          </w:p>
        </w:tc>
      </w:tr>
      <w:tr>
        <w:trPr>
          <w:trHeight w:val="216"/>
        </w:trPr>
        <w:tc>
          <w:tcPr>
            <w:tcW w:w="6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(audited)</w:t>
            </w:r>
          </w:p>
        </w:tc>
        <w:tc>
          <w:tcPr>
            <w:tcW w:w="100" w:type="dxa"/>
            <w:vAlign w:val="bottom"/>
            <w:gridSpan w:val="2"/>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667,873</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84,836</w:t>
            </w:r>
          </w:p>
        </w:tc>
      </w:tr>
      <w:tr>
        <w:trPr>
          <w:trHeight w:val="25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102,742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2,258</w:t>
            </w:r>
          </w:p>
        </w:tc>
        <w:tc>
          <w:tcPr>
            <w:tcW w:w="80" w:type="dxa"/>
            <w:vAlign w:val="bottom"/>
            <w:shd w:val="clear" w:color="auto" w:fill="CCEEFF"/>
          </w:tcPr>
          <w:p>
            <w:pPr>
              <w:spacing w:after="0"/>
              <w:rPr>
                <w:sz w:val="21"/>
                <w:szCs w:val="21"/>
                <w:color w:val="auto"/>
              </w:rPr>
            </w:pPr>
          </w:p>
        </w:tc>
      </w:tr>
      <w:tr>
        <w:trPr>
          <w:trHeight w:val="203"/>
        </w:trPr>
        <w:tc>
          <w:tcPr>
            <w:tcW w:w="63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770,615</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6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235,111</w:t>
            </w:r>
          </w:p>
        </w:tc>
      </w:tr>
      <w:tr>
        <w:trPr>
          <w:trHeight w:val="24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116,158,244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116,928,859</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322,205</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 and expenses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322,376</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156,201</w:t>
            </w:r>
          </w:p>
        </w:tc>
        <w:tc>
          <w:tcPr>
            <w:tcW w:w="80" w:type="dxa"/>
            <w:vAlign w:val="bottom"/>
            <w:shd w:val="clear" w:color="auto" w:fill="CCEEFF"/>
          </w:tcPr>
          <w:p>
            <w:pPr>
              <w:spacing w:after="0"/>
              <w:rPr>
                <w:sz w:val="18"/>
                <w:szCs w:val="18"/>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Promissory note – related party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0"/>
                <w:szCs w:val="20"/>
                <w:color w:val="auto"/>
              </w:rPr>
            </w:pPr>
          </w:p>
        </w:tc>
      </w:tr>
      <w:tr>
        <w:trPr>
          <w:trHeight w:val="216"/>
        </w:trPr>
        <w:tc>
          <w:tcPr>
            <w:tcW w:w="6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322,376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Deferred underwriting fee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4,220,500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5,529,312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10,072,188</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306,201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Common Stock subject to possible redemption, 11,500,000 and no shares at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redemption value of $10.10 at September 30, 2021 and December 31, 2020,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116,150,000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$0.0001 par value; 1,000,000 shares authorized; none issued and</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50,000,000 shares authorized; 3,292,200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w w:val="91"/>
              </w:rPr>
              <w:t>2,875,000 shares issued and outstanding (excluding 11,500,000 and no shares subject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w w:val="93"/>
              </w:rPr>
              <w:t>to possible redemption) at September 30,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261"/>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24,712</w:t>
            </w:r>
          </w:p>
        </w:tc>
      </w:tr>
      <w:tr>
        <w:trPr>
          <w:trHeight w:val="236"/>
        </w:trPr>
        <w:tc>
          <w:tcPr>
            <w:tcW w:w="634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201"/>
              <w:spacing w:after="0"/>
              <w:rPr>
                <w:sz w:val="20"/>
                <w:szCs w:val="20"/>
                <w:color w:val="auto"/>
              </w:rPr>
            </w:pPr>
            <w:r>
              <w:rPr>
                <w:rFonts w:ascii="Arial" w:cs="Arial" w:eastAsia="Arial" w:hAnsi="Arial"/>
                <w:sz w:val="18"/>
                <w:szCs w:val="18"/>
                <w:color w:val="auto"/>
              </w:rPr>
              <w:t>(9,293,659)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right"/>
              <w:ind w:right="40"/>
              <w:spacing w:after="0"/>
              <w:rPr>
                <w:sz w:val="20"/>
                <w:szCs w:val="20"/>
                <w:color w:val="auto"/>
              </w:rPr>
            </w:pPr>
            <w:r>
              <w:rPr>
                <w:rFonts w:ascii="Arial" w:cs="Arial" w:eastAsia="Arial" w:hAnsi="Arial"/>
                <w:sz w:val="18"/>
                <w:szCs w:val="18"/>
                <w:color w:val="auto"/>
              </w:rPr>
              <w:t>(8,996)</w:t>
            </w:r>
          </w:p>
        </w:tc>
      </w:tr>
      <w:tr>
        <w:trPr>
          <w:trHeight w:val="236"/>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(9,293,329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116,928,859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95"/>
              </w:rPr>
              <w:t>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41"/>
        </w:trPr>
        <w:tc>
          <w:tcPr>
            <w:tcW w:w="5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w w:val="98"/>
              </w:rPr>
              <w:t>September 30,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September 30, 2021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335,552</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8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(335,552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(704,011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Offering costs allocated to warrants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(359,874)</w:t>
            </w:r>
          </w:p>
        </w:tc>
        <w:tc>
          <w:tcPr>
            <w:tcW w:w="0" w:type="dxa"/>
            <w:vAlign w:val="bottom"/>
          </w:tcPr>
          <w:p>
            <w:pPr>
              <w:spacing w:after="0"/>
              <w:rPr>
                <w:sz w:val="1"/>
                <w:szCs w:val="1"/>
                <w:color w:val="auto"/>
              </w:rPr>
            </w:pPr>
          </w:p>
        </w:tc>
      </w:tr>
      <w:tr>
        <w:trPr>
          <w:trHeight w:val="24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1,794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1,495,871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other income (expense)</w:t>
            </w: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4,723</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1,144,241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(330,829</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440,230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weighted average shares outstanding</w:t>
            </w: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14,792,200</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14,224,714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Basic and diluted net (loss) income per common share</w:t>
            </w:r>
          </w:p>
        </w:tc>
        <w:tc>
          <w:tcPr>
            <w:tcW w:w="8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Stockholders’</w:t>
            </w:r>
          </w:p>
        </w:tc>
      </w:tr>
      <w:tr>
        <w:trPr>
          <w:trHeight w:val="255"/>
        </w:trPr>
        <w:tc>
          <w:tcPr>
            <w:tcW w:w="3620" w:type="dxa"/>
            <w:vAlign w:val="bottom"/>
          </w:tcPr>
          <w:p>
            <w:pPr>
              <w:spacing w:after="0"/>
              <w:rPr>
                <w:sz w:val="22"/>
                <w:szCs w:val="22"/>
                <w:color w:val="auto"/>
              </w:rPr>
            </w:pPr>
          </w:p>
        </w:tc>
        <w:tc>
          <w:tcPr>
            <w:tcW w:w="30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46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37"/>
        </w:trPr>
        <w:tc>
          <w:tcPr>
            <w:tcW w:w="3620" w:type="dxa"/>
            <w:vAlign w:val="bottom"/>
          </w:tcPr>
          <w:p>
            <w:pPr>
              <w:spacing w:after="0"/>
              <w:rPr>
                <w:sz w:val="20"/>
                <w:szCs w:val="20"/>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46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Sale of 11,500,000 Units, net of underwriting</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discount and offering expenses</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20"/>
                <w:szCs w:val="20"/>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417,200 Private Placement Units, net</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of private warrant liability and proceeds used</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 overfund trust account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417,200</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2,771,995</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2,772,037</w:t>
            </w:r>
          </w:p>
        </w:tc>
        <w:tc>
          <w:tcPr>
            <w:tcW w:w="80" w:type="dxa"/>
            <w:vAlign w:val="bottom"/>
            <w:shd w:val="clear" w:color="auto" w:fill="CCEEFF"/>
          </w:tcPr>
          <w:p>
            <w:pPr>
              <w:spacing w:after="0"/>
              <w:rPr>
                <w:sz w:val="20"/>
                <w:szCs w:val="20"/>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Proceeds received from sale of shares to</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representative</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2,105</w:t>
            </w:r>
          </w:p>
        </w:tc>
        <w:tc>
          <w:tcPr>
            <w:tcW w:w="80" w:type="dxa"/>
            <w:vAlign w:val="bottom"/>
          </w:tcPr>
          <w:p>
            <w:pPr>
              <w:spacing w:after="0"/>
              <w:rPr>
                <w:sz w:val="20"/>
                <w:szCs w:val="20"/>
                <w:color w:val="auto"/>
              </w:rPr>
            </w:pPr>
          </w:p>
        </w:tc>
        <w:tc>
          <w:tcPr>
            <w:tcW w:w="1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8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2,973,220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2,973,220</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7"/>
              </w:rPr>
              <w:t>Common stock subject to possible redemption</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(11,500,000)</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(1,150)</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common stock subject to</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possible redemption</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(2,798,812)</w:t>
            </w:r>
          </w:p>
        </w:tc>
        <w:tc>
          <w:tcPr>
            <w:tcW w:w="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(9,724,893)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(12,523,705)</w:t>
            </w:r>
          </w:p>
        </w:tc>
      </w:tr>
      <w:tr>
        <w:trPr>
          <w:trHeight w:val="203"/>
        </w:trPr>
        <w:tc>
          <w:tcPr>
            <w:tcW w:w="3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March 31, 2021, as restated</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3,292,200</w:t>
            </w:r>
          </w:p>
        </w:tc>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(6,760,669)</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(6,760,339)</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(2,202,161)</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(2,202,161)</w:t>
            </w:r>
          </w:p>
        </w:tc>
      </w:tr>
      <w:tr>
        <w:trPr>
          <w:trHeight w:val="203"/>
        </w:trPr>
        <w:tc>
          <w:tcPr>
            <w:tcW w:w="3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June 30, 2021, as restated</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3,292,200</w:t>
            </w:r>
          </w:p>
        </w:tc>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(8,962,830)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(8,962,500)</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(330,829)</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(330,829)</w:t>
            </w:r>
          </w:p>
        </w:tc>
      </w:tr>
      <w:tr>
        <w:trPr>
          <w:trHeight w:val="217"/>
        </w:trPr>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3,292,200</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(9,293,659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(9,293,329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4320"/>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1"/>
              <w:spacing w:after="0"/>
              <w:rPr>
                <w:sz w:val="20"/>
                <w:szCs w:val="20"/>
                <w:color w:val="auto"/>
              </w:rPr>
            </w:pPr>
            <w:r>
              <w:rPr>
                <w:rFonts w:ascii="Arial" w:cs="Arial" w:eastAsia="Arial" w:hAnsi="Arial"/>
                <w:sz w:val="18"/>
                <w:szCs w:val="18"/>
                <w:color w:val="auto"/>
              </w:rPr>
              <w:t>440,230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6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allocated to warrants</w:t>
            </w:r>
          </w:p>
        </w:tc>
        <w:tc>
          <w:tcPr>
            <w:tcW w:w="6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359,874</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6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(1,495,871)</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720"/>
              <w:spacing w:after="0"/>
              <w:rPr>
                <w:sz w:val="20"/>
                <w:szCs w:val="20"/>
                <w:color w:val="auto"/>
              </w:rPr>
            </w:pPr>
            <w:r>
              <w:rPr>
                <w:rFonts w:ascii="Arial" w:cs="Arial" w:eastAsia="Arial" w:hAnsi="Arial"/>
                <w:sz w:val="18"/>
                <w:szCs w:val="18"/>
                <w:color w:val="auto"/>
              </w:rPr>
              <w:t>Prepaid assets</w:t>
            </w:r>
          </w:p>
        </w:tc>
        <w:tc>
          <w:tcPr>
            <w:tcW w:w="6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(100,484)</w:t>
            </w:r>
          </w:p>
        </w:tc>
        <w:tc>
          <w:tcPr>
            <w:tcW w:w="0" w:type="dxa"/>
            <w:vAlign w:val="bottom"/>
          </w:tcPr>
          <w:p>
            <w:pPr>
              <w:spacing w:after="0"/>
              <w:rPr>
                <w:sz w:val="1"/>
                <w:szCs w:val="1"/>
                <w:color w:val="auto"/>
              </w:rPr>
            </w:pPr>
          </w:p>
        </w:tc>
      </w:tr>
      <w:tr>
        <w:trPr>
          <w:trHeight w:val="250"/>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251,154</w:t>
            </w:r>
          </w:p>
        </w:tc>
        <w:tc>
          <w:tcPr>
            <w:tcW w:w="0" w:type="dxa"/>
            <w:vAlign w:val="bottom"/>
          </w:tcPr>
          <w:p>
            <w:pPr>
              <w:spacing w:after="0"/>
              <w:rPr>
                <w:sz w:val="1"/>
                <w:szCs w:val="1"/>
                <w:color w:val="auto"/>
              </w:rPr>
            </w:pPr>
          </w:p>
        </w:tc>
      </w:tr>
      <w:tr>
        <w:trPr>
          <w:trHeight w:val="210"/>
        </w:trPr>
        <w:tc>
          <w:tcPr>
            <w:tcW w:w="90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6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(553,341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of cash in Trust Account</w:t>
            </w:r>
          </w:p>
        </w:tc>
        <w:tc>
          <w:tcPr>
            <w:tcW w:w="6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0" w:type="dxa"/>
            <w:vAlign w:val="bottom"/>
          </w:tcPr>
          <w:p>
            <w:pPr>
              <w:spacing w:after="0"/>
              <w:rPr>
                <w:sz w:val="1"/>
                <w:szCs w:val="1"/>
                <w:color w:val="auto"/>
              </w:rPr>
            </w:pPr>
          </w:p>
        </w:tc>
      </w:tr>
      <w:tr>
        <w:trPr>
          <w:trHeight w:val="210"/>
        </w:trPr>
        <w:tc>
          <w:tcPr>
            <w:tcW w:w="900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(116,150,000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 of Units, net of underwriting discounts</w:t>
            </w:r>
          </w:p>
        </w:tc>
        <w:tc>
          <w:tcPr>
            <w:tcW w:w="6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113,470,500</w:t>
            </w:r>
          </w:p>
        </w:tc>
        <w:tc>
          <w:tcPr>
            <w:tcW w:w="0" w:type="dxa"/>
            <w:vAlign w:val="bottom"/>
          </w:tcPr>
          <w:p>
            <w:pPr>
              <w:spacing w:after="0"/>
              <w:rPr>
                <w:sz w:val="1"/>
                <w:szCs w:val="1"/>
                <w:color w:val="auto"/>
              </w:rPr>
            </w:pPr>
          </w:p>
        </w:tc>
      </w:tr>
      <w:tr>
        <w:trPr>
          <w:trHeight w:val="216"/>
        </w:trPr>
        <w:tc>
          <w:tcPr>
            <w:tcW w:w="9000" w:type="dxa"/>
            <w:vAlign w:val="bottom"/>
          </w:tcPr>
          <w:p>
            <w:pPr>
              <w:ind w:left="720"/>
              <w:spacing w:after="0"/>
              <w:rPr>
                <w:sz w:val="20"/>
                <w:szCs w:val="20"/>
                <w:color w:val="auto"/>
              </w:rPr>
            </w:pPr>
            <w:r>
              <w:rPr>
                <w:rFonts w:ascii="Arial" w:cs="Arial" w:eastAsia="Arial" w:hAnsi="Arial"/>
                <w:sz w:val="18"/>
                <w:szCs w:val="18"/>
                <w:color w:val="auto"/>
              </w:rPr>
              <w:t>Proceeds from sale of Private Placement Units</w:t>
            </w:r>
          </w:p>
        </w:tc>
        <w:tc>
          <w:tcPr>
            <w:tcW w:w="640" w:type="dxa"/>
            <w:vAlign w:val="bottom"/>
          </w:tcPr>
          <w:p>
            <w:pPr>
              <w:spacing w:after="0"/>
              <w:rPr>
                <w:sz w:val="18"/>
                <w:szCs w:val="18"/>
                <w:color w:val="auto"/>
              </w:rPr>
            </w:pPr>
          </w:p>
        </w:tc>
        <w:tc>
          <w:tcPr>
            <w:tcW w:w="1600" w:type="dxa"/>
            <w:vAlign w:val="bottom"/>
            <w:gridSpan w:val="2"/>
          </w:tcPr>
          <w:p>
            <w:pPr>
              <w:jc w:val="right"/>
              <w:ind w:right="21"/>
              <w:spacing w:after="0"/>
              <w:rPr>
                <w:sz w:val="20"/>
                <w:szCs w:val="20"/>
                <w:color w:val="auto"/>
              </w:rPr>
            </w:pPr>
            <w:r>
              <w:rPr>
                <w:rFonts w:ascii="Arial" w:cs="Arial" w:eastAsia="Arial" w:hAnsi="Arial"/>
                <w:sz w:val="18"/>
                <w:szCs w:val="18"/>
                <w:color w:val="auto"/>
              </w:rPr>
              <w:t>4,172,000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 of representative shares</w:t>
            </w:r>
          </w:p>
        </w:tc>
        <w:tc>
          <w:tcPr>
            <w:tcW w:w="6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9000" w:type="dxa"/>
            <w:vAlign w:val="bottom"/>
          </w:tcPr>
          <w:p>
            <w:pPr>
              <w:ind w:left="720"/>
              <w:spacing w:after="0"/>
              <w:rPr>
                <w:sz w:val="20"/>
                <w:szCs w:val="20"/>
                <w:color w:val="auto"/>
              </w:rPr>
            </w:pPr>
            <w:r>
              <w:rPr>
                <w:rFonts w:ascii="Arial" w:cs="Arial" w:eastAsia="Arial" w:hAnsi="Arial"/>
                <w:sz w:val="18"/>
                <w:szCs w:val="18"/>
                <w:color w:val="auto"/>
              </w:rPr>
              <w:t>Repayment of promissory note – related party</w:t>
            </w:r>
          </w:p>
        </w:tc>
        <w:tc>
          <w:tcPr>
            <w:tcW w:w="6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49"/>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deferred offering costs</w:t>
            </w:r>
          </w:p>
        </w:tc>
        <w:tc>
          <w:tcPr>
            <w:tcW w:w="6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(208,227)</w:t>
            </w:r>
          </w:p>
        </w:tc>
        <w:tc>
          <w:tcPr>
            <w:tcW w:w="0" w:type="dxa"/>
            <w:vAlign w:val="bottom"/>
          </w:tcPr>
          <w:p>
            <w:pPr>
              <w:spacing w:after="0"/>
              <w:rPr>
                <w:sz w:val="1"/>
                <w:szCs w:val="1"/>
                <w:color w:val="auto"/>
              </w:rPr>
            </w:pPr>
          </w:p>
        </w:tc>
      </w:tr>
      <w:tr>
        <w:trPr>
          <w:trHeight w:val="210"/>
        </w:trPr>
        <w:tc>
          <w:tcPr>
            <w:tcW w:w="900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6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117,286,378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640" w:type="dxa"/>
            <w:vAlign w:val="bottom"/>
          </w:tcPr>
          <w:p>
            <w:pPr>
              <w:spacing w:after="0"/>
              <w:rPr>
                <w:sz w:val="20"/>
                <w:szCs w:val="20"/>
                <w:color w:val="auto"/>
              </w:rPr>
            </w:pPr>
          </w:p>
        </w:tc>
        <w:tc>
          <w:tcPr>
            <w:tcW w:w="1600" w:type="dxa"/>
            <w:vAlign w:val="bottom"/>
            <w:gridSpan w:val="2"/>
          </w:tcPr>
          <w:p>
            <w:pPr>
              <w:jc w:val="right"/>
              <w:ind w:right="21"/>
              <w:spacing w:after="0"/>
              <w:rPr>
                <w:sz w:val="20"/>
                <w:szCs w:val="20"/>
                <w:color w:val="auto"/>
              </w:rPr>
            </w:pPr>
            <w:r>
              <w:rPr>
                <w:rFonts w:ascii="Arial" w:cs="Arial" w:eastAsia="Arial" w:hAnsi="Arial"/>
                <w:sz w:val="18"/>
                <w:szCs w:val="18"/>
                <w:color w:val="auto"/>
              </w:rPr>
              <w:t>84,836</w:t>
            </w:r>
          </w:p>
        </w:tc>
        <w:tc>
          <w:tcPr>
            <w:tcW w:w="0" w:type="dxa"/>
            <w:vAlign w:val="bottom"/>
          </w:tcPr>
          <w:p>
            <w:pPr>
              <w:spacing w:after="0"/>
              <w:rPr>
                <w:sz w:val="1"/>
                <w:szCs w:val="1"/>
                <w:color w:val="auto"/>
              </w:rPr>
            </w:pPr>
          </w:p>
        </w:tc>
      </w:tr>
      <w:tr>
        <w:trPr>
          <w:trHeight w:val="229"/>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1"/>
              <w:spacing w:after="0"/>
              <w:rPr>
                <w:sz w:val="20"/>
                <w:szCs w:val="20"/>
                <w:color w:val="auto"/>
              </w:rPr>
            </w:pPr>
            <w:r>
              <w:rPr>
                <w:rFonts w:ascii="Arial" w:cs="Arial" w:eastAsia="Arial" w:hAnsi="Arial"/>
                <w:sz w:val="18"/>
                <w:szCs w:val="18"/>
                <w:color w:val="auto"/>
              </w:rPr>
              <w:t>116,150,000</w:t>
            </w:r>
          </w:p>
        </w:tc>
        <w:tc>
          <w:tcPr>
            <w:tcW w:w="0" w:type="dxa"/>
            <w:vAlign w:val="bottom"/>
          </w:tcPr>
          <w:p>
            <w:pPr>
              <w:spacing w:after="0"/>
              <w:rPr>
                <w:sz w:val="1"/>
                <w:szCs w:val="1"/>
                <w:color w:val="auto"/>
              </w:rPr>
            </w:pPr>
          </w:p>
        </w:tc>
      </w:tr>
      <w:tr>
        <w:trPr>
          <w:trHeight w:val="197"/>
        </w:trPr>
        <w:tc>
          <w:tcPr>
            <w:tcW w:w="90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warrant liability</w:t>
            </w: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7,025,183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color w:val="auto"/>
              </w:rPr>
              <w:t>Deferred underwriters’ discount payable charged to additional paid-in capital</w:t>
            </w: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4,220,500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Accretion of common stock subject to possible redemptions</w:t>
            </w: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12,523,705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SAB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(f/k/a Big Cypress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Big Cypress Acquisition Corp. (the “Company”), our predecessor, was a blank check company incorporated in Delaware on November 12, 2020. The Company was formed for the purpose of effecting a merger, capital stock exchange, asset acquisition, stock purchase, reorganization or similar business combination with one or more businesses (“Business Combination”).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the Business Combination (described in Note 10), the Company had one subsidiary, Big Cypress Merger Sub Inc., a direct, wholly-owned subsidiary of the Company incorporated in Delaware on June 17, 2021 (“Merger Sub”).</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 Company had not commenced any operations. All activity through September 30, 2021 relates to the Company’s formation and the Initial Public Offering (“IPO”) which is described below, and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registration statement for the Company’s IPO was declared effective by the U.S. Securities and Exchange Commission (the “SEC”) on January 11, 2021 (the “Effective Date”). On January 14, 2021, the Company consummated the IPO of 11,500,000 units (the “Units”) and, with respect to the shares of common stock included in the Units sold (the “Public Shares”), which included the full exercise by the underwriters of the over-allotment option to purchase an additional 1,500,000 Units, at $10.00 per Unit, generating gross proceeds of $115,000,000, which is discussed in Note 4. Each Unit consists of one share of common stock, and one-half redeemable warrant to purchase one share of common stock at a price of $11.50 per whole share.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IPO, the Company consummated the sale of 417,200 units (the “Placement Units”), at a price of $10.00 per unit, in a private placement to Big Cypress Holdings LLC, a Delaware limited liability company which acted as the Company’s sponsor in connection with the IPO (the “Sponsor”), generating gross proceeds of $4,172,000, which is discussed in Note 5.</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of the IPO amounted to $6,108,360 consisting of $1,529,500 of underwriting fee, $4,220,500 of deferred underwriting fee, and $358,360 of other offering costs, and of which $359,874 were allocated to expense associated with the warrant liability.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January 14, 2021, $116,150,000 ($10.10 per Unit) from the net offering proceeds of the sale of the Units in the IPO and the sale of the Placement Units was placed in a trust account (the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franchise and income tax obligations (less up to $100,000 of interest to pay dissolution expenses), the proceeds from this IPO and the sale of the Placement Units will not be released from the trust account until the earliest of (a) the completion of the Company’s initial business combination, (b) the redemption of any public shares properly submitted in connection with a stockholder vote to amend the Company’s amended and restated certificate of incorporation, and (c) the redemption of the Company’s public shares if the Company is unable to complete the initial business combination within 15 months (or up to 21 months) from the closing of this IPO, subject to applicable law. The proceeds deposited in the trust account could become subject to the claims of the Company’s creditors, if any, which could have priority over the claims of the Company’s public stockholders.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initial business combination or (ii) by means of a tender offer. The decision as to whether the Company will seek stockholder approval of a proposed initial business combination or conduct a tender offer will be made by the Company, solely in its discretion.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The Company will have 15 months (or up to 21 months) from the closing of the IPO on January 14, 2021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to pay its franchise and income taxes, divided by the number of then outstanding public shares, subject to applicable law and as further described in registration statement, and then seek to dissolve and liquidate.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officers and directors have agreed to (i) waive their redemption rights with respect to their founder shares and placement shares in connection with the completion of the initial business combination, (ii) waive their redemption rights with respect to their founder shares and placement shares in connection with a stockholder vote to approve an amendment to the Company’s amended and restated certificate of incorporation, and (iii) waive their rights to liquidating distributions from the trust account with respect to their founder shares and placement shares if the Company fails to complete the initial business combination within the Combination Period.</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this offering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continuing to evaluate the impact of the COVID-19 pandemic and has concluded that while it is reasonably possible that it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preparation of the Company’s financial statements as of September 30, 2021, management determined it should restate certain of its previously reported financial statements. The Company previously determined the common stock subject to possible redemption to be equal to the redemption value of $10.10 per common stock while also taking into consideration its charter’s requirement that a redemption cannot result in net tangible assets being less than $5,000,001. Upon review of certain of its financial statements for the period ended September 30, 2021, the Company reevaluated the classification of the common stock and determined that the common stock issued during the Initial Public Offering and pursuant to the exercise of the underwriters’ overallotment can be redeemed or become redeemable subject to the occurrence of future events considered outside the Company’s control under ASC 480-10-S99. Therefore, management concluded that the carrying value should include all common stock subject to possible redemption, resulting in the common stock subject to possible redemption being classified as temporary equity in its entirety. As a result, management has noted a reclassification adjustment related to temporary equity and permanent equity. This resulted in a restatement to the initial carrying value of the common stock subject to possible redemption with the offset recorded to additional paid-in capital (to the extent available), retained earnings (accumulated deficit) and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In connection with the change in presentation for the common stock subject to possible redemption, the Company also restated its earnings per share calculation to allocate net income (loss) evenly to common stock subject to redemption and those that are not subject to redemption. This presentation contemplates a Business Combination as the most likely outcome, in which case, both classes of common stock share pro rata in the income (loss)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restatement on the Company’s financial statements is reflected in the following table:</w:t>
      </w:r>
    </w:p>
    <w:p>
      <w:pPr>
        <w:spacing w:after="0" w:line="239" w:lineRule="exact"/>
        <w:rPr>
          <w:sz w:val="20"/>
          <w:szCs w:val="20"/>
          <w:color w:val="auto"/>
        </w:rPr>
      </w:pPr>
    </w:p>
    <w:p>
      <w:pPr>
        <w:ind w:left="5800"/>
        <w:spacing w:after="0"/>
        <w:tabs>
          <w:tab w:leader="none" w:pos="7860" w:val="left"/>
          <w:tab w:leader="none" w:pos="9840" w:val="left"/>
        </w:tabs>
        <w:rPr>
          <w:sz w:val="20"/>
          <w:szCs w:val="20"/>
          <w:color w:val="auto"/>
        </w:rPr>
      </w:pPr>
      <w:r>
        <w:rPr>
          <w:rFonts w:ascii="Arial" w:cs="Arial" w:eastAsia="Arial" w:hAnsi="Arial"/>
          <w:sz w:val="18"/>
          <w:szCs w:val="18"/>
          <w:color w:val="auto"/>
        </w:rPr>
        <w:t>As Reported</w:t>
      </w:r>
      <w:r>
        <w:rPr>
          <w:sz w:val="20"/>
          <w:szCs w:val="20"/>
          <w:color w:val="auto"/>
        </w:rPr>
        <w:tab/>
      </w:r>
      <w:r>
        <w:rPr>
          <w:rFonts w:ascii="Arial" w:cs="Arial" w:eastAsia="Arial" w:hAnsi="Arial"/>
          <w:sz w:val="18"/>
          <w:szCs w:val="18"/>
          <w:color w:val="auto"/>
        </w:rPr>
        <w:t>Adjustment</w:t>
      </w:r>
      <w:r>
        <w:rPr>
          <w:sz w:val="20"/>
          <w:szCs w:val="20"/>
          <w:color w:val="auto"/>
        </w:rPr>
        <w:tab/>
      </w:r>
      <w:r>
        <w:rPr>
          <w:rFonts w:ascii="Arial" w:cs="Arial" w:eastAsia="Arial" w:hAnsi="Arial"/>
          <w:sz w:val="15"/>
          <w:szCs w:val="15"/>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6347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as of January 14, 2021 (as revised in footnote 2 per form 10-Q filed on May 21,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101,131,827</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15,018,173</w:t>
            </w: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$0.0001 par value</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5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5,359,507</w:t>
            </w:r>
          </w:p>
        </w:tc>
        <w:tc>
          <w:tcPr>
            <w:tcW w:w="44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(5,359,507)</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(359,892)</w:t>
            </w:r>
          </w:p>
        </w:tc>
        <w:tc>
          <w:tcPr>
            <w:tcW w:w="4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(9,658,517)</w:t>
            </w: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(10,018,499)</w:t>
            </w:r>
          </w:p>
        </w:tc>
      </w:tr>
      <w:tr>
        <w:trPr>
          <w:trHeight w:val="256"/>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Stockholders’ Equity (Deficit)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36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(15,018,173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(10,018,169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Number of shares subject to redemption</w:t>
            </w:r>
          </w:p>
        </w:tc>
        <w:tc>
          <w:tcPr>
            <w:tcW w:w="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10,013,052</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1,486,948</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5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Balance Sheet as of March 31, 2021 (per form 10-Q filed on May 21, 2021)</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3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104,389,656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11,760,344</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100" w:type="dxa"/>
            <w:vAlign w:val="bottom"/>
            <w:shd w:val="clear" w:color="auto" w:fill="CCEEFF"/>
          </w:tcPr>
          <w:p>
            <w:pPr>
              <w:spacing w:after="0"/>
              <w:rPr>
                <w:sz w:val="20"/>
                <w:szCs w:val="20"/>
                <w:color w:val="auto"/>
              </w:rPr>
            </w:pPr>
          </w:p>
        </w:tc>
      </w:tr>
      <w:tr>
        <w:trPr>
          <w:trHeight w:val="243"/>
        </w:trPr>
        <w:tc>
          <w:tcPr>
            <w:tcW w:w="54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$0.0001 par value</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5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2,035,336</w:t>
            </w:r>
          </w:p>
        </w:tc>
        <w:tc>
          <w:tcPr>
            <w:tcW w:w="44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(2,035,336)</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5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2,964,224</w:t>
            </w:r>
          </w:p>
        </w:tc>
        <w:tc>
          <w:tcPr>
            <w:tcW w:w="4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(9,724,892)</w:t>
            </w: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(6,760,669)</w:t>
            </w:r>
          </w:p>
        </w:tc>
      </w:tr>
      <w:tr>
        <w:trPr>
          <w:trHeight w:val="256"/>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Stockholders’ Equity (Deficit)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36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(11,760,344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(6,760,339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Number of shares subject to redemption</w:t>
            </w:r>
          </w:p>
        </w:tc>
        <w:tc>
          <w:tcPr>
            <w:tcW w:w="5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10,335,609</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1,164,391</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Unaudited Statement of Operations for the three months ended March 31, 2021 (per form 10-Q filed on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weighted average shares outstanding, common stock</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subject to redemption</w:t>
            </w:r>
          </w:p>
        </w:tc>
        <w:tc>
          <w:tcPr>
            <w:tcW w:w="4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3,532,050</w:t>
            </w:r>
          </w:p>
        </w:tc>
        <w:tc>
          <w:tcPr>
            <w:tcW w:w="4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9,538,777</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13,070,827</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0.84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(0,61)</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0.23</w:t>
            </w:r>
          </w:p>
        </w:tc>
      </w:tr>
      <w:tr>
        <w:trPr>
          <w:trHeight w:val="438"/>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Balance Sheet as of June 30, 2021 (per form 10-Q filed on August 9, 2021)</w:t>
            </w: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3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 ($)</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102,187,499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13,962,501</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$0.0001 par value</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4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4,237,471</w:t>
            </w:r>
          </w:p>
        </w:tc>
        <w:tc>
          <w:tcPr>
            <w:tcW w:w="44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(4,237,471)</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4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762,063</w:t>
            </w:r>
          </w:p>
        </w:tc>
        <w:tc>
          <w:tcPr>
            <w:tcW w:w="4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(9,724,893)</w:t>
            </w: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(8,962,830)</w:t>
            </w:r>
          </w:p>
        </w:tc>
      </w:tr>
      <w:tr>
        <w:trPr>
          <w:trHeight w:val="257"/>
        </w:trPr>
        <w:tc>
          <w:tcPr>
            <w:tcW w:w="5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36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(13,962,501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(8,962,500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Number of shares subject to redemption</w:t>
            </w: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10,117,574</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1,382,426</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Unaudited Statement of Operations For the three and six months ended June 30, 2021 (per form 10-Q filed on August 9,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months ended June 30, 2021</w:t>
            </w:r>
          </w:p>
        </w:tc>
        <w:tc>
          <w:tcPr>
            <w:tcW w:w="28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92"/>
              </w:rPr>
              <w:t>Basic and diluted weighted average shares outstanding, common stock</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subject to redemption</w:t>
            </w:r>
          </w:p>
        </w:tc>
        <w:tc>
          <w:tcPr>
            <w:tcW w:w="28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4,443,103</w:t>
            </w:r>
          </w:p>
        </w:tc>
        <w:tc>
          <w:tcPr>
            <w:tcW w:w="6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10,349,097</w:t>
            </w:r>
          </w:p>
        </w:tc>
        <w:tc>
          <w:tcPr>
            <w:tcW w:w="6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14,792,000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2021</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92"/>
              </w:rPr>
              <w:t>Basic and diluted weighted average shares outstanding, common stock</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subject to redemption</w:t>
            </w:r>
          </w:p>
        </w:tc>
        <w:tc>
          <w:tcPr>
            <w:tcW w:w="28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4,162,957</w:t>
            </w:r>
          </w:p>
        </w:tc>
        <w:tc>
          <w:tcPr>
            <w:tcW w:w="6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9,773,212</w:t>
            </w:r>
          </w:p>
        </w:tc>
        <w:tc>
          <w:tcPr>
            <w:tcW w:w="6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13,936,269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0.18</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439"/>
        </w:trPr>
        <w:tc>
          <w:tcPr>
            <w:tcW w:w="5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89"/>
              </w:rPr>
              <w:t>10</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10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2020 as filed with the SEC on April 2, 2021, which contains the audited financial statements and notes thereto. The interim results for the three months and nine months ended September 30, 2021 are not necessarily indicative of the results to be expected for the year ending December 31, 2021 or for any future interim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At September 30, 2021, substantially all of the assets held in the Trust Account were held in money market funds which invest U.S. Treasury securities.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evaluated the Public Warrants and Private Placement Warrants (each as defined herein and collectively, “Warrants”, which are discussed in Note 2, Note 4, Note 5 and Note 9) in accordance with ASC 815-40, “Derivatives and Hedging — Contracts in Entity’s Own Equity”, and concluded that a provision in the Warrant Agreement related to certain tender or exchange offers precludes the Warrants from being accounted for as components of equity. As the Warrants meet the definition of a derivative as contemplated in ASC 815, the Warrants are recorded as derivative liabilities on the Condensed Balance Sheet and measured at fair value at inception (on the date of the IPO) and at each reporting date in accordance with ASC 820, “Fair Value Measurement”, with changes in fair value recognized in the Condensed Statement of Operations in the period of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11D1E"/>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complies with the requirements of the ASC 340-10-S99-1. 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common stock were charged to temporary equity upon the completion of the Initial Public Offering. Transaction costs amounted to $6,108,360, of which $359,874 were allocated to expense associated with the warrant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11,500,000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w w:val="99"/>
              </w:rPr>
              <w:t>As of September 30, 2021, the common stock reflected on the balance sheet are reconciled in the following table:</w:t>
            </w: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IPO</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116,150,000</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(6,775,220)</w:t>
            </w:r>
          </w:p>
        </w:tc>
        <w:tc>
          <w:tcPr>
            <w:tcW w:w="0" w:type="dxa"/>
            <w:vAlign w:val="bottom"/>
          </w:tcPr>
          <w:p>
            <w:pPr>
              <w:spacing w:after="0"/>
              <w:rPr>
                <w:sz w:val="1"/>
                <w:szCs w:val="1"/>
                <w:color w:val="auto"/>
              </w:rPr>
            </w:pPr>
          </w:p>
        </w:tc>
      </w:tr>
      <w:tr>
        <w:trPr>
          <w:trHeight w:val="236"/>
        </w:trPr>
        <w:tc>
          <w:tcPr>
            <w:tcW w:w="9000" w:type="dxa"/>
            <w:vAlign w:val="bottom"/>
          </w:tcPr>
          <w:p>
            <w:pPr>
              <w:ind w:left="180"/>
              <w:spacing w:after="0"/>
              <w:rPr>
                <w:sz w:val="20"/>
                <w:szCs w:val="20"/>
                <w:color w:val="auto"/>
              </w:rPr>
            </w:pPr>
            <w:r>
              <w:rPr>
                <w:rFonts w:ascii="Arial" w:cs="Arial" w:eastAsia="Arial" w:hAnsi="Arial"/>
                <w:sz w:val="18"/>
                <w:szCs w:val="18"/>
                <w:color w:val="auto"/>
              </w:rPr>
              <w:t>Common stock issuance costs</w:t>
            </w:r>
          </w:p>
        </w:tc>
        <w:tc>
          <w:tcPr>
            <w:tcW w:w="6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(5,748,485)</w:t>
            </w:r>
          </w:p>
        </w:tc>
        <w:tc>
          <w:tcPr>
            <w:tcW w:w="0" w:type="dxa"/>
            <w:vAlign w:val="bottom"/>
          </w:tcPr>
          <w:p>
            <w:pPr>
              <w:spacing w:after="0"/>
              <w:rPr>
                <w:sz w:val="1"/>
                <w:szCs w:val="1"/>
                <w:color w:val="auto"/>
              </w:rPr>
            </w:pP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w:t>
            </w:r>
          </w:p>
        </w:tc>
        <w:tc>
          <w:tcPr>
            <w:tcW w:w="6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00" w:type="dxa"/>
            <w:vAlign w:val="bottom"/>
          </w:tcPr>
          <w:p>
            <w:pPr>
              <w:ind w:left="180"/>
              <w:spacing w:after="0"/>
              <w:rPr>
                <w:sz w:val="20"/>
                <w:szCs w:val="20"/>
                <w:color w:val="auto"/>
              </w:rPr>
            </w:pPr>
            <w:r>
              <w:rPr>
                <w:rFonts w:ascii="Arial" w:cs="Arial" w:eastAsia="Arial" w:hAnsi="Arial"/>
                <w:sz w:val="18"/>
                <w:szCs w:val="18"/>
                <w:color w:val="auto"/>
              </w:rPr>
              <w:t>Accretion of carrying value to redemption value</w:t>
            </w:r>
          </w:p>
        </w:tc>
        <w:tc>
          <w:tcPr>
            <w:tcW w:w="6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12,523,705</w:t>
            </w:r>
          </w:p>
        </w:tc>
        <w:tc>
          <w:tcPr>
            <w:tcW w:w="0" w:type="dxa"/>
            <w:vAlign w:val="bottom"/>
          </w:tcPr>
          <w:p>
            <w:pPr>
              <w:spacing w:after="0"/>
              <w:rPr>
                <w:sz w:val="1"/>
                <w:szCs w:val="1"/>
                <w:color w:val="auto"/>
              </w:rPr>
            </w:pPr>
          </w:p>
        </w:tc>
      </w:tr>
      <w:tr>
        <w:trPr>
          <w:trHeight w:val="243"/>
        </w:trPr>
        <w:tc>
          <w:tcPr>
            <w:tcW w:w="90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18"/>
                <w:szCs w:val="18"/>
                <w:b w:val="1"/>
                <w:bCs w:val="1"/>
                <w:color w:val="auto"/>
              </w:rPr>
              <w:t>Common stock subject to possible redemption</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116,150,000</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The deferred tax assets were deemed to be de minimis as of September 30, 2021 and December 31,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September 30, 2021 and December 31, 2020. The Company is currently not aware of any issues under review that could result in significant payments, accruals or material deviation from its position. The Company has identified the United States as its only “major” tax jurisdiction. The Company is subject to income tax examinations by major taxing authorities since inception.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The provision for income taxes was deemed to be de minimis for the period ended September 30,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loss per share is computed by dividing net loss by the weighted average number of shares of common stock outstanding during the period. The Company has not considered the effect of any warrants sold in the Initial Public Offering and the private placement to purchase 5,958,600 shares of common stock in the calculation of diluted loss per share, since the exercise of the warrants are contingent upon the occurrence of future events. As a result, diluted net loss per common share is the same as basic net loss per common share for the period presented. Accretion of the carrying value of common stock to redemption value is excluded from net income per ordinary share because the redemption value approximates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the numerator and denominator used to compute basic and diluted net income (loss) per share: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For the three months ended</w:t>
            </w:r>
          </w:p>
        </w:tc>
        <w:tc>
          <w:tcPr>
            <w:tcW w:w="140" w:type="dxa"/>
            <w:vAlign w:val="bottom"/>
          </w:tcPr>
          <w:p>
            <w:pPr>
              <w:spacing w:after="0"/>
              <w:rPr>
                <w:sz w:val="17"/>
                <w:szCs w:val="17"/>
                <w:color w:val="auto"/>
              </w:rPr>
            </w:pPr>
          </w:p>
        </w:tc>
        <w:tc>
          <w:tcPr>
            <w:tcW w:w="2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 2021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6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18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(330,829)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440,230</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w:t>
            </w:r>
          </w:p>
        </w:tc>
        <w:tc>
          <w:tcPr>
            <w:tcW w:w="1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14,792,200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14,224,714</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8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Concentration of Credit Risk</w:t>
            </w: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follows the guidance in ASC 820, “Fair Value Measurement,”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ind w:left="980" w:hanging="971"/>
        <w:spacing w:after="0" w:line="286" w:lineRule="auto"/>
        <w:tabs>
          <w:tab w:leader="none" w:pos="9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7"/>
          <w:szCs w:val="17"/>
          <w:color w:val="auto"/>
        </w:rPr>
        <w:t>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valuation of these securities does not entail a significant degree of judgment.</w:t>
      </w:r>
    </w:p>
    <w:p>
      <w:pPr>
        <w:spacing w:after="0" w:line="165" w:lineRule="exact"/>
        <w:rPr>
          <w:sz w:val="20"/>
          <w:szCs w:val="20"/>
          <w:color w:val="auto"/>
        </w:rPr>
      </w:pPr>
    </w:p>
    <w:p>
      <w:pPr>
        <w:jc w:val="both"/>
        <w:ind w:left="980" w:hanging="971"/>
        <w:spacing w:after="0" w:line="263" w:lineRule="auto"/>
        <w:tabs>
          <w:tab w:leader="none" w:pos="960" w:val="left"/>
        </w:tabs>
        <w:rPr>
          <w:sz w:val="20"/>
          <w:szCs w:val="20"/>
          <w:color w:val="auto"/>
        </w:rPr>
      </w:pPr>
      <w:r>
        <w:rPr>
          <w:rFonts w:ascii="Arial" w:cs="Arial" w:eastAsia="Arial" w:hAnsi="Arial"/>
          <w:sz w:val="18"/>
          <w:szCs w:val="18"/>
          <w:color w:val="auto"/>
        </w:rPr>
        <w:t>Level 2 —</w:t>
        <w:tab/>
        <w:t>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market through correlation or other means.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August 2020, the FASB issued ASU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14, 2021, the Company initially sold 11,500,000 Units, at a purchase price of $10.00 per Unit, which includes the full exercise by the underwriters of the over-allotment option to purchase an additional 1,500,000 Units, at a purchase price of $10.00 per Unit. Each Unit consists of one share of common stock, and one-half warrant to purchase one share of common stock (the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whole Warrant entitles the holder to purchase one share of the Company’s common stock at a price of $11.50 per share, subject to adjustment as discussed herein. The Warrants will become exercisable on the later of 12 months from the closing of this offering or 30 days after the completion of its initial business combination, and will expire five years after the completion of the Company’s initial business combination, at 5:00 p.m., New York City time, or earlier upon redemption or liquidation.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Company’s board of directors and, in the case of any such issuance to the Company’s sponsor or its affiliates, without taking into account any founder shares held by the Company’s sponsor or its affiliates,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common stock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The Company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is current. No warrant will be exercisable and the Company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ending three business days before the Company send the notice of redemption to the warrant holders.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calls the warrants for redemption as described above, the management will have the option to require any holder that wishes to exercise its warrant to do so on a “cashless basis.” If the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IPO, the Sponsor purchased an aggregate of 417,200 Placement Units, at a price of $10.00 per Placement Unit, for an aggregate purchase price of $4,172,000, in a private placement. A portion of the proceeds from the private placement was added to the proceeds from the IPO held in the Trust.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Placement Unit was identical to the Units sold in the IPO, except for the placement warrants (“Placement Warrants”). The Placement Warrants and the common stock issuable upon the exercise of the Placement Warrants will not be transferable, assignable or saleable until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 If the Company does not complete its initial business combination within 15 months (or up to 21 months) from the closing of this IPO, the proceeds from the sale of the Placement Units held in the trust account will be used to fund the redemption of its public shares (subject to the requirements of applicable law) and the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12, 2020, the Company issued 2,156,250 shares of common stock to the Sponsor for $25,000 in cash, or approximately $0.012 per share, in connection with formation. On December 7, 2020, the Sponsor forfeited 161,719 founder shares to the Company and Ladenburg Thalmann &amp; Co. Inc., the representative of the underwriters, and certain of its employees (“Ladenburg”) purchased from the Company an aggregate of 161,719 representative shares at an average purchase price of approximately $0.012 per share, for an aggregate purchase price of $1,875.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On January 3, 2021, the Company effected a stock dividend of 1/3 of a share of common stock for every share of common stock outstanding, resulting in an aggregate of 2,875,000 founder shares outstanding (including up to 375,000 shares subject to forfeiture to the extent that the underwriters’ over-allotment was not exercised in full or in part). As a result of the underwriters’ election to fully exercise of their over-allotment option on January 14, 2021, the 375,000 shares are no longer subject to forfeiture.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As a result, the Sponsor currently owns 2,630,625 shares.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Sponsor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7, 2020, the Sponsor forfeited 161,719 founder shares to the Company and Ladenburg and certain of its employees purchased from the Company an aggregate of 161,719 representative shares at an average purchase price of approximately $0.012 per share, for an aggregate purchase price of $1,875. 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Following the 1/3 common stock dividend effected January 3, 2020 (as described herein), Ladenburg and certain of its employees now hold an aggregate of 244,375 representative shares (of which up to 31,875 were subject to forfeiture). As a result of the underwriters’ election to fully exercise of their over-allotment option, the 31,875 shares are no longer subject to forfeiture.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Ladenburg and certain of its employees have entered into a subscription agreement with the Company, pursuant to which they have agreed to (i) waive their redemption rights with respect to their representative shares, as applicable, and public shares in connection with the completion of our initial business combination, (ii) waive their redemption rights with respect to their representative shares, as applicable, (iii) waive their rights to liquidating distributions from the trust account with respect to their representative shares if the Company fails to complete the initial business combination within the Combination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19, 2020, Company issued an unsecured promissory note to the Sponsor for an aggregate of up to $250,000 to cover expenses related to the IPO. This loan was non-interest bearing and payable on the earlier of March 31, 2021 or the completion of the IPO. As of December 31, 2020, the Company had drawn down $150,000 under the promissory note. On January 14, 2021, the Company paid the $150,000 balance on the note from the proceeds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units at a price of $10.00 per unit at the option of the lender, upon consummation of the Company’s Initial Business Combination. The units would be identical to the Placement Units. At September 30, 2021, no Working Capital Loans were outstanding.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agreed to pay an affiliate of the Company’s Sponsor a monthly fee of an aggregate of $10,000 for office space, utilities and secretarial and administrative support. Upon completion of the Company’s Business Combination or its liquidation, the Company will cease paying these monthly fees. For the three and nine months ended September 30, 2021, the Company has recorded $30,000 and $90,000 in service fee expense,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underwriter had a 45-day option from the date of the IPO to purchase up to an aggregate of 1,500,000 additional Units at the public offering price less the underwriting commissions to cover over-allotments, if any. On January 14, 2021, the underwriter fully exercised its over-allotment option.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consummation of the IPO on January 14, 2021, the underwriters were paid a cash underwriting fee of 1.33% of the gross proceeds of the IPO, or $1,529,500 in the aggregate.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underwriters are entitled to deferred underwriting fee of 3.67% of the gross proceeds of the IPO, or $4,220,500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founder shares, representative shares, placement units, and units that may be issued upon conversion of working capital loans will have registration rights to require the Company to register a sale of any of its securities held by them pursuant to a registration rights agreement to be signed prior to or on the effective date of this offering. These holders will be entitled to make up to three demands, excluding short form registration demands, that the Company registers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a total of 1,000,000 preferred shares at par value of $0.0001 each. At September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shares of preferred stock issued or outstanding.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a total of 50,000,000 share of common stock at par value of $0.0001 each. At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2020, there were 3,292,200 and 2,875,000 shares issued and outstanding, excluding 11,500,000 and no shares subject to possible redemption, respectively.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initial stockholder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not to transfer, assign or sell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 Any permitted transferees will be subject to the same restrictions and other agreements of the Company’s initial stockholders with respect to any founder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March 31, 2021,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Prices In</w:t>
            </w:r>
          </w:p>
        </w:tc>
        <w:tc>
          <w:tcPr>
            <w:tcW w:w="16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Markets</w:t>
            </w:r>
          </w:p>
        </w:tc>
        <w:tc>
          <w:tcPr>
            <w:tcW w:w="160" w:type="dxa"/>
            <w:vAlign w:val="bottom"/>
          </w:tcPr>
          <w:p>
            <w:pPr>
              <w:spacing w:after="0"/>
              <w:rPr>
                <w:sz w:val="19"/>
                <w:szCs w:val="19"/>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U.S. Money Market held in Trust Account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116,158,244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116,158,244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Public Warrants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5,290,000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5,290,000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Warrants Liability</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239,312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239,312</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5,529,312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5,290,000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accounted for as liabilities in accordance with ASC 815-40 and are presented within warrant liabilities on the Condensed Balance Sheet. The warrant liabilities are measured at fair value at inception and on a recurring basis, with changes in fair value presented within change in fair value of warrant liabilities in the Condensed Statement of Operations.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established the initial fair value of the Public Warrants and Private Warrants on January 14, 2021, the date of the Company’s Initial Public Offering, using a Monte Carlo simulation model. On September 30, 2021, the Company established the fair value of the Private Warrants using a Monto Carlo simulation model, and the fair value of the Public Warrants by reference to the quoted market price. The Public and Private Warrants were classified as Level 3 at the initial measurement date and the Private Warrants were classified as Level 3 at September 30, 2021 due to the use of unobservable inputs. As of September 30, 2021, the Public Warrant were transferred to Level 1 due to the use of the quote market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the Level 3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Private Placement</w:t>
            </w:r>
          </w:p>
        </w:tc>
        <w:tc>
          <w:tcPr>
            <w:tcW w:w="28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Public</w:t>
            </w:r>
          </w:p>
        </w:tc>
        <w:tc>
          <w:tcPr>
            <w:tcW w:w="26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Warrants</w:t>
            </w:r>
          </w:p>
        </w:tc>
        <w:tc>
          <w:tcPr>
            <w:tcW w:w="280" w:type="dxa"/>
            <w:vAlign w:val="bottom"/>
          </w:tcPr>
          <w:p>
            <w:pPr>
              <w:spacing w:after="0"/>
              <w:rPr>
                <w:sz w:val="20"/>
                <w:szCs w:val="20"/>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Warrants</w:t>
            </w:r>
          </w:p>
        </w:tc>
        <w:tc>
          <w:tcPr>
            <w:tcW w:w="26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Liabilities</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Initial measurement on January 14, 2021</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249,963</w:t>
            </w:r>
          </w:p>
        </w:tc>
        <w:tc>
          <w:tcPr>
            <w:tcW w:w="2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6,775,220</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7,025,183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(10,651)</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(1,485,220)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(1,495,871)</w:t>
            </w: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Transferred to Level 1</w:t>
            </w:r>
          </w:p>
        </w:tc>
        <w:tc>
          <w:tcPr>
            <w:tcW w:w="12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(5,290,000)</w:t>
            </w:r>
          </w:p>
        </w:tc>
        <w:tc>
          <w:tcPr>
            <w:tcW w:w="2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(5,290,000)</w:t>
            </w: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239,312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5"/>
          </w:tcPr>
          <w:p>
            <w:pPr>
              <w:spacing w:after="0"/>
              <w:rPr>
                <w:sz w:val="20"/>
                <w:szCs w:val="20"/>
                <w:color w:val="auto"/>
              </w:rPr>
            </w:pPr>
            <w:r>
              <w:rPr>
                <w:rFonts w:ascii="Arial" w:cs="Arial" w:eastAsia="Arial" w:hAnsi="Arial"/>
                <w:sz w:val="18"/>
                <w:szCs w:val="18"/>
                <w:color w:val="auto"/>
                <w:w w:val="98"/>
              </w:rPr>
              <w:t>The key inputs into the Monte Carlo simulation as of January 14, 2021 and September 30, 2021 were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b w:val="1"/>
                <w:bCs w:val="1"/>
                <w:color w:val="auto"/>
              </w:rPr>
              <w:t>(Initial Measurement)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Inputs</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January 14, 2021</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September 30, 2021</w:t>
            </w:r>
          </w:p>
        </w:tc>
        <w:tc>
          <w:tcPr>
            <w:tcW w:w="160" w:type="dxa"/>
            <w:vAlign w:val="bottom"/>
            <w:tcBorders>
              <w:bottom w:val="single" w:sz="8" w:color="CCEEFF"/>
            </w:tcBorders>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Expected term remaining (years)</w:t>
            </w:r>
          </w:p>
        </w:tc>
        <w:tc>
          <w:tcPr>
            <w:tcW w:w="160" w:type="dxa"/>
            <w:vAlign w:val="bottom"/>
          </w:tcPr>
          <w:p>
            <w:pPr>
              <w:spacing w:after="0"/>
              <w:rPr>
                <w:sz w:val="18"/>
                <w:szCs w:val="18"/>
                <w:color w:val="auto"/>
              </w:rPr>
            </w:pPr>
          </w:p>
        </w:tc>
        <w:tc>
          <w:tcPr>
            <w:tcW w:w="2220" w:type="dxa"/>
            <w:vAlign w:val="bottom"/>
            <w:gridSpan w:val="2"/>
          </w:tcPr>
          <w:p>
            <w:pPr>
              <w:ind w:left="164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tcPr>
          <w:p>
            <w:pPr>
              <w:ind w:left="1640"/>
              <w:spacing w:after="0"/>
              <w:rPr>
                <w:sz w:val="20"/>
                <w:szCs w:val="20"/>
                <w:color w:val="auto"/>
              </w:rPr>
            </w:pPr>
            <w:r>
              <w:rPr>
                <w:rFonts w:ascii="Arial" w:cs="Arial" w:eastAsia="Arial" w:hAnsi="Arial"/>
                <w:sz w:val="18"/>
                <w:szCs w:val="18"/>
                <w:color w:val="auto"/>
              </w:rPr>
              <w:t>9.41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22, 2021 (the “Closing Date”), the Company consummated the previously announced business combination (the “Business Combination”), pursuant to the terms of the agreement and plan of merger, dated as of June 21, 2021 (as may be amended, supplemented or otherwise modified from time to time, the “Business Combination Agreement”), by and among the Company, Big Cypress Merger Sub Inc., a Delaware corporation and wholly-owned subsidiary of the Company (“Merger Sub”), and SAB Biotherapeutics, Inc., a Delaware corporation (“OLD SAB”).</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Business Combination Agreement, on the Closing Date, (i) Merger Sub merged with and into OLD SAB (the “Merger”), with OLD SAB as the surviving company in the Merger, and, after giving effect to such Merger, OLD SAB was renamed SAB Sciences, Inc. and became a wholly-owned subsidiary of the Company and (ii) the Company changed its name to “SAB Biotherapeutics, Inc.”</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and subject to the conditions of the Business Combination Agreement, at the effective time of the Merger (the “Effective Time”), (i) each share of common stock and preferred stock of OLD SAB outstanding as of immediately prior to the Effective Time was exchanged for shares of common stock, par value $0.0001 per share, of the Company (“Common Stock”) based on the agreed upon OLD SAB equity value of $300 million (the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restricted stock units (the “Earnout RSUs”) related to shares of Common Stock.</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holders of OLD SAB common stock and preferred stock are entitled to receive their pro rata share of the shares of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Common Stock, in the aggregate.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 of a share of Common Stock was issued at the Closing, and each person who was otherwise entitled to a fraction of a share of Common Stock (after aggregating all fractional shares of Common Stock that otherwise would be received by such holder) received the number of shares of Common Stock rounded in the aggregate to the nearest whole share of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References in this report (the “Quarterly Report”) to “we,” “us” or the “Company” refer to Big Cypress Acquisition Corp. prior to the Business Combination (as defined below), except where the context requires otherwise. References to our “management” or our “management team” refer to officers and directors of Big Cypress Acquisition Corp. prior to the Business Combination (as defined below), and references to the “Sponsor” refer to Big Cypress Holdings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Securities Exchange Act of 1934, as amended,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has been amended and restated to give effect to the restatement of our financial statements as of September 30, 2021. Management identified errors made in its historical financial statements where, at the closing of our Initial Public Offering, we improperly valued our common stock subject to possible redemption. We previously determined the common stock subject to possible redemption to be equal to the redemption value of $10.10 per share of common stock while also taking into consideration a redemption cannot result in net tangible assets being less than $5,000,001. Management determined that the common stock issued during the Initial Public Offering can be redeemed or become redeemable subject to the occurrence of future events considered outside of the Company’s control. Therefore, management concluded that the redemption value should include all common stock subject to possible redemption, resulting in the common stock subject to possible redemption being equal to their redemption value. As a result, management has noted a reclassification error related to temporary equity and permanent equity. This resulted in a restatement to the initial carrying value of the common stock subject to possible redemption with the offset recorded to additional paid-in capital (to the extent available), accumulated deficit and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formed under the laws of the State of Delaware on November 12, 2020 for the purpose of effecting a merger, share exchange, asset acquisition, stock purchase, recapitalization, reorganization or other similar business combination with one or more businesses or entities. We intend to effectuate our initial business combination using cash from the proceeds of the IPO (as defined below) and the sale of the Private Units (as defined below), our capital stock, debt or a combination of cash, stock and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22, 2021 (the “Closing Date”), the Company consummated the previously announced business combination (the “Business Combination”), pursuant to the terms of the agreement and plan of merger, dated as of June 21, 2021 (as may be amended, supplemented or otherwise modified from time to time, the “Business Combination Agreement”), by and among the Company, Big Cypress Merger Sub Inc., a Delaware corporation and wholly-owned subsidiary of the Company (“Merger Sub”), and SAB Biotherapeutics, Inc., a Delaware corporation (“OLD SAB”).</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Business Combination Agreement, on the Closing Date, (i) Merger Sub merged with and into OLD SAB (the “Merger”), with OLD SAB as the surviving company in the Merger, and, after giving effect to such Merger, OLD SAB was renamed SAB Sciences, Inc. and became a wholly-owned subsidiary of the Company and (ii) the Company changed its name to “SAB Biotherapeutics, Inc.”</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and subject to the conditions of the Business Combination Agreement, at the effective time of the Merger (the “Effective Time”), (i) each share of common stock and preferred stock of OLD SAB outstanding as of immediately prior to the Effective Time was exchanged for shares of common stock, par value $0.0001 per share, of the Company (“Common Stock”) based on the agreed upon OLD SAB equity value of $300 million (the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restricted stock units (the “Earnout RSUs”) related to shares of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Additionally, holders of OLD SAB common stock and preferred stock are entitled to receive their pro rata share of the shares of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Common Stock, in the aggregate.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 of a share of Common Stock was issued at the Closing, and each person who was otherwise entitled to a fraction of a share of Common Stock (after aggregating all fractional shares of Common Stock that otherwise would be received by such holder) received the number of shares of Common Stock rounded in the aggregate to the nearest whole share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from November 12, 2020 (inception) through September 30, 2021 were organizational activities, those necessary to prepare for the IPO, described below, and identifying a target company for our initial business combination. We do not expect to generate any operating revenues until after the completion of the Business Combination. We generate non-operating income in the form of interest income on marketable securities held in the Trust Account (as defined below). We incur expenses as a result of being a public company (for legal, financial reporting, accounting and auditing compliance), as well as for due diligence expenses.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2021, we had operating costs of $335,552 and $704,011, respectively consisting of professional and administrative expense and accrued Delaware franchise taxes. We also had other income (expense) of $4,723 and $1,144,241, respectively, which consists of $2,929 and $8,244 of interest earned on marketable securities held in the Trust Account, nil and $359,874 of offering expense allocated to the warrants and $1,794 and $1,495,871 gain resulting from the change in the fair value of our warrant liability,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14, 2021, we consummated our initial public offering (the “IPO”) of 11,500,000 of our units (the “Public Units”) which included Public Units subject to the underwriters’ over-allotment option, which option was exercised in full. Each Public Unit consists of one share of common stock and one-half redeemable warrant, with each whole warrant entitling the holder to purchase one share of common stock at a price of $11.50 per share (the “Public Warrants”). The Public Units were sold at an offering price of $10.00 per Public Unit, generating gross proceeds of $115,000,000.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Simultaneously with the consummation of the IPO, we consummated the private placement (“Private Placement”) of 417,200 units (the “Private Units”) at a price of $10.00 per Private Unit with each Private Unit consisting of one share of common stock and one-half warrant, with each whole warrant entitling the holder to purchase one share of common stock at a price of $11.50 per share (the “Private Warrants”), generating total proceeds of $4,172,000. The Private Units were sold to the Sponsor. The Private Units and Private Warrants are identical to the Public Units and Public Warrants sold in the IPO, except that the Private Warrants underlying the Private Units are non-redeemable and may be exercised on a cashless basis, in each case so long as they continue to be held by the Sponsor or its permitted transferees.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closing of the IPO and the sale of additional Private Units, an aggregate amount of $116,150,000 has been placed in the trust account (the “Trust Account”) established in connection with the IPO. Transaction costs amounted to $6,108,360 consisting of $1,529,500 of underwriting fee, $4,220,500 of deferred underwriting fee, and $358,360 of other offering costs. In addition, $1,216,731 of cash was held outside of the Trust Account, which is available for the payment of offering costs and for working capital purposes. As a result of the underwriters’ exercise of the over-allotment option in full, 375,000 of the founder shares are no longer subject to forfeiture.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As of September 30, 2021, we had marketable securities held in the Trust Account of $116,158,244 (including $8,244 interest income) consisting money market funds which invest U.S. Treasury securities. Interest income on the balance in the Trust Account may be used by us to pay taxes. Through September 30, 2021, we have not withdrawn any interest earned on the Trust Account.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2021, net cash used in operating activities was $553,341. Net income of $440,230 was affected by interest earned on marketable securities held in the Trust Account of $8,244, offering costs allocated to warrants of $359,874, a change in the fair value of our warrant liability of $1,495,871, an increase in prepaid assets of $100,484 and an increase in accrued expenses of $251,154.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2021, net cash used in investing activities was $116,150,000 for our investment in the Trust Account.</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net provided by in financing activities was $117,286,378 primarily from the sale of public and private Units in the amount of $117,644,605, net of underwriting discounts. This was offset by the $150,000 repayment of a related party promissory note and payment of $208,227 in deferred offering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the Business Combination. To the extent that our capital stock or debt is used, in whole or in part, as consideration to complete the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cash of $667,873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the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Sponsor, or certain of our officers and directors or their affiliates may, but are not obligated to, loan us funds as may be required. If we complete the Business Combination, we would repay such loaned amounts. In the event that the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Units.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the Business Combination are less than the actual amount necessary to do so, we may have insufficient funds available to operate our business prior to the Business Combination. Moreover, we may need to obtain additional financing either to complete the Business Combination or because we become obligated to redeem a significant number of our Public Shares upon consummation of the Business Combination, in which case we may issue additional securities or incur debt in connection with the Business Combination. Subject to compliance with applicable securities laws, we would only complete such financing simultaneously with the completion of the Business Combination. If we are unable to complete the Business Combination because we do not have sufficient funds available to us, we will be forced to cease operations and liquidate the Trust Account. In addition, following the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an affiliate of one of our executive officers a monthly fee of $10,000 for office space, utilities and secretarial and administrative support. We began incurring these fees on January 14, 2021 and will continue to incur these fees monthly until the earlier of the completion of the Business Combination and our liquidation.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ASC 470-20, Debt with Conversion and Other Options addresses the allocation of proceeds from the issuance of convertible debt into its equity and debt components. The Company applies this guidance to allocate IPO proceeds from the Units between common stock and warrants, using the residual method by allocating IPO proceeds first to fair value of the warrants and then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11,500,000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common stock is computed by dividing net income (loss) by the weighted average number of common stock outstanding for each of the periods. The calculation of diluted income per common stock does not consider the effect of the warrants issued in connection with the (i) IPO and contemporaneous issuance of Private Placement Units, (ii) exercise of overallotment and (iii) Private Placement since the exercise of the warrants are contingent upon the occurrence of future events. The warrants are exercisable to purchase 5,958,600 shares of common stock in the aggregate.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were not subject to any market or interest rate risk. Following the consummation of our IPO, the net proceeds of our IPO,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Based upon their evaluation, our Chief Executive Officer and Chief Financial Officer concluded that our disclosure controls and procedures were not effective as of September 30, 2021, due to the previous material weakness in our internal control over financial reporting described in Part I Item 4 of our Quarterly Report on Form 10-Q for the period ended June 30, 2021. Controls and Procedures included in our Quarterly Report on Form 10-Q as filed with the SEC on May 21, 2021, and due to the restatements of our January 14, 2021, March 31, 2021, and June 30, 2021 financial statements (the “restatements”) regarding the classification of redeemable common shares, as described below, which combined, constitutes a material weakness in our internal control over financial reporting. In light of this material weakness, we performed additional analysis as deemed necessary to ensure that our unaudited interim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Regarding the restatements to the March 31, 2021, and June 30, 2021 quarterly financial statements included in the Company’s Form 10-Qs, as filed with the SEC on May 21, 2021 and August 9, 2021, respectively, as well as the Company’s balance sheet included on the Company’s Form 8-K, as filed with the SEC on January 21, 2021, and restated on the Form 10-Q filed with the SEC on May 21, 2021, certain redemption provisions not solely within the control of the Company require common stock subject to redemption to be classified outside of permanent equity. The Company had previously classified a portion of the common stock in permanent equity. The Company restated its financial statements to classify all common stock as temporary equity and any related impact, as the threshold in its charter would not change the nature of the underlying shares as redeemable and thus would be required to be disclosed outside of permanent equity.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noted that the non-cash adjustments to the financial statement do not impact the amounts previously reported for our cash and cash equivalents or total assets. In light of this material weakness, we performed additional analysis as deemed necessary to ensure that our unaudited interim financial statements were prepared in accordance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that occurred during the quarter ended on September 30, 2021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newly created organization, we are currently in the process of implementing our financial reporting processes and will incorporate enhanced communication and documentation procedures between our operations team and the individuals responsible for preparation of financial statements. These controls are expected to include the implementation of additional supervision and review activities by qualified personnel, and the development and use of checklists and research tools to assist in compliance with GAAP. We intend to complete the enhancement of our financial reporting processes during fiscal year 2021. The process of designing and implementing an effective financial reporting system is a continuous effort that requires us to anticipate and react to changes in our business and the economic and regulatory environments. Additionally, we must expend resources to maintain a financial reporting system that is adequate to satisfy our reporting obligations. As we continue to evaluate and take actions to improve our internal control over financial reporting, we may determine to take additional actions to address control deficiencies or determine to modify certain of the remediation measures described above. We cannot assure you that the measures we have taken to date, or any measures we may take in the future, will be sufficient to remediate the material weakness we have identified or avoid potential future material weaknesses.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closing of the Business Combination on October 22, 2021, the risk factors previously disclosed in our final prospectus filed with the SEC on January 14, 2021 no longer apply. For risk factors relating to our business following the Business Combination, please refer to the section titled “Risk Factors” in the Proxy Statement/Prospectus, which is incorporated by reference into our Current Report on Form 8-K filed on October 28,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jc w:val="both"/>
        <w:ind w:left="780" w:hanging="768"/>
        <w:spacing w:after="0" w:line="258"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7">
        <w:r>
          <w:rPr>
            <w:rFonts w:ascii="Arial" w:cs="Arial" w:eastAsia="Arial" w:hAnsi="Arial"/>
            <w:sz w:val="18"/>
            <w:szCs w:val="18"/>
            <w:u w:val="single" w:color="auto"/>
            <w:color w:val="0000EE"/>
          </w:rPr>
          <w:t>Amended and Restated Certificate of Incorporation (incorporated by reference to Exhibit 3.1 to the Company’s Current Report on Form 8-K,</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filed with the Securities and Exchange Commission on October 28,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8">
        <w:r>
          <w:rPr>
            <w:rFonts w:ascii="Arial" w:cs="Arial" w:eastAsia="Arial" w:hAnsi="Arial"/>
            <w:sz w:val="18"/>
            <w:szCs w:val="18"/>
            <w:u w:val="single" w:color="auto"/>
            <w:color w:val="0000EE"/>
          </w:rPr>
          <w:t>Amended and Restated Bylaws (incorporated by reference to Exhibit 3.2 to the Company’s Current Report on Form 8-K, filed with the</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Securities and Exchange Commission on October 28,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9">
        <w:r>
          <w:rPr>
            <w:rFonts w:ascii="Arial" w:cs="Arial" w:eastAsia="Arial" w:hAnsi="Arial"/>
            <w:sz w:val="18"/>
            <w:szCs w:val="18"/>
            <w:u w:val="single" w:color="auto"/>
            <w:color w:val="0000EE"/>
          </w:rPr>
          <w:t>Amended and Restated Registration Rights Agreement (incorporated by reference to Exhibit 10.1 to the Company’s Current Report on Form 8-</w:t>
        </w:r>
      </w:hyperlink>
      <w:hyperlink r:id="rId39">
        <w:r>
          <w:rPr>
            <w:rFonts w:ascii="Arial" w:cs="Arial" w:eastAsia="Arial" w:hAnsi="Arial"/>
            <w:sz w:val="18"/>
            <w:szCs w:val="18"/>
            <w:u w:val="single" w:color="auto"/>
            <w:color w:val="0000EE"/>
          </w:rPr>
          <w:t>K, filed with the Securities and Exchange Commission on October 28, 2021).</w:t>
        </w:r>
      </w:hyperlink>
    </w:p>
    <w:p>
      <w:pPr>
        <w:spacing w:after="0" w:line="1" w:lineRule="exact"/>
        <w:rPr>
          <w:sz w:val="20"/>
          <w:szCs w:val="20"/>
          <w:color w:val="auto"/>
        </w:rPr>
      </w:pPr>
    </w:p>
    <w:p>
      <w:pPr>
        <w:jc w:val="both"/>
        <w:ind w:left="780" w:hanging="768"/>
        <w:spacing w:after="0" w:line="265"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40">
        <w:r>
          <w:rPr>
            <w:rFonts w:ascii="Arial" w:cs="Arial" w:eastAsia="Arial" w:hAnsi="Arial"/>
            <w:sz w:val="17"/>
            <w:szCs w:val="17"/>
            <w:u w:val="single" w:color="auto"/>
            <w:color w:val="0000EE"/>
          </w:rPr>
          <w:t>Employment Agreement, dated March 1, 2021, by and between SAB Biotherapeutics, Inc. and Eddie J. Sullivan (incorporated by reference to</w:t>
        </w:r>
      </w:hyperlink>
      <w:r>
        <w:rPr>
          <w:rFonts w:ascii="Arial" w:cs="Arial" w:eastAsia="Arial" w:hAnsi="Arial"/>
          <w:sz w:val="17"/>
          <w:szCs w:val="17"/>
          <w:u w:val="single" w:color="auto"/>
          <w:color w:val="0000EE"/>
        </w:rPr>
        <w:t xml:space="preserve"> </w:t>
      </w:r>
      <w:hyperlink r:id="rId40">
        <w:r>
          <w:rPr>
            <w:rFonts w:ascii="Arial" w:cs="Arial" w:eastAsia="Arial" w:hAnsi="Arial"/>
            <w:sz w:val="17"/>
            <w:szCs w:val="17"/>
            <w:u w:val="single" w:color="auto"/>
            <w:color w:val="0000EE"/>
          </w:rPr>
          <w:t>Exhibit 10.2 to the Company’s Current Report on Form 8-K, filed with the Securities and Exchange Commission on October 28, 2021).</w:t>
        </w:r>
      </w:hyperlink>
    </w:p>
    <w:p>
      <w:pPr>
        <w:jc w:val="both"/>
        <w:ind w:left="780" w:hanging="768"/>
        <w:spacing w:after="0" w:line="265"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41">
        <w:r>
          <w:rPr>
            <w:rFonts w:ascii="Arial" w:cs="Arial" w:eastAsia="Arial" w:hAnsi="Arial"/>
            <w:sz w:val="17"/>
            <w:szCs w:val="17"/>
            <w:u w:val="single" w:color="auto"/>
            <w:color w:val="0000EE"/>
          </w:rPr>
          <w:t>Employment Agreement, dated March 1, 2021, by and between SAB Biotherapeutics, Inc. and Thomas Luke (incorporated by reference to</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Exhibit 10.3 to the Company’s Current Report on Form 8-K, filed with the Securities and Exchange Commission on October 28, 2021).</w:t>
        </w:r>
      </w:hyperlink>
    </w:p>
    <w:p>
      <w:pPr>
        <w:jc w:val="both"/>
        <w:ind w:left="780" w:right="20" w:hanging="768"/>
        <w:spacing w:after="0" w:line="281"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42">
        <w:r>
          <w:rPr>
            <w:rFonts w:ascii="Arial" w:cs="Arial" w:eastAsia="Arial" w:hAnsi="Arial"/>
            <w:sz w:val="16"/>
            <w:szCs w:val="16"/>
            <w:u w:val="single" w:color="auto"/>
            <w:color w:val="0000EE"/>
          </w:rPr>
          <w:t>Employment Agreement, dated March 1, 2021, by and between SAB Biotherapeutics, Inc. and Charles H. Randall, Jr. (incorporated by reference</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to Exhibit 10.4 to the Company’s Current Report on Form 8-K, filed with the Securities and Exchange Commission on October 28, 2021).</w:t>
        </w:r>
      </w:hyperlink>
    </w:p>
    <w:p>
      <w:pPr>
        <w:spacing w:after="0" w:line="1" w:lineRule="exact"/>
        <w:rPr>
          <w:sz w:val="20"/>
          <w:szCs w:val="20"/>
          <w:color w:val="auto"/>
        </w:rPr>
      </w:pPr>
    </w:p>
    <w:p>
      <w:pPr>
        <w:jc w:val="both"/>
        <w:ind w:left="780" w:right="20" w:hanging="768"/>
        <w:spacing w:after="0" w:line="265"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43">
        <w:r>
          <w:rPr>
            <w:rFonts w:ascii="Arial" w:cs="Arial" w:eastAsia="Arial" w:hAnsi="Arial"/>
            <w:sz w:val="17"/>
            <w:szCs w:val="17"/>
            <w:u w:val="single" w:color="auto"/>
            <w:color w:val="0000EE"/>
          </w:rPr>
          <w:t>Employment Agreement, dated March 1, 2021, by and between SAB Biotherapeutics, Inc. and Russell Beyer. (incorporated by reference to</w:t>
        </w:r>
      </w:hyperlink>
      <w:r>
        <w:rPr>
          <w:rFonts w:ascii="Arial" w:cs="Arial" w:eastAsia="Arial" w:hAnsi="Arial"/>
          <w:sz w:val="17"/>
          <w:szCs w:val="17"/>
          <w:u w:val="single" w:color="auto"/>
          <w:color w:val="0000EE"/>
        </w:rPr>
        <w:t xml:space="preserve"> </w:t>
      </w:r>
      <w:hyperlink r:id="rId43">
        <w:r>
          <w:rPr>
            <w:rFonts w:ascii="Arial" w:cs="Arial" w:eastAsia="Arial" w:hAnsi="Arial"/>
            <w:sz w:val="17"/>
            <w:szCs w:val="17"/>
            <w:u w:val="single" w:color="auto"/>
            <w:color w:val="0000EE"/>
          </w:rPr>
          <w:t>Exhibit 10.5 to the Company’s Current Report on Form 8-K, filed with the Securities and Exchange Commission on October 28, 2021).</w:t>
        </w:r>
      </w:hyperlink>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44">
        <w:r>
          <w:rPr>
            <w:rFonts w:ascii="Arial" w:cs="Arial" w:eastAsia="Arial" w:hAnsi="Arial"/>
            <w:sz w:val="18"/>
            <w:szCs w:val="18"/>
            <w:u w:val="single" w:color="auto"/>
            <w:color w:val="0000EE"/>
          </w:rPr>
          <w:t>Form of Indemnification Agreement (incorporated by reference to Exhibit 10.6 to the Company’s Current Report on Form 8-K, filed with the</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Securities and Exchange Commission on October 28,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45">
        <w:r>
          <w:rPr>
            <w:rFonts w:ascii="Arial" w:cs="Arial" w:eastAsia="Arial" w:hAnsi="Arial"/>
            <w:sz w:val="18"/>
            <w:szCs w:val="18"/>
            <w:u w:val="single" w:color="auto"/>
            <w:color w:val="0000EE"/>
          </w:rPr>
          <w:t>SAB Biotherapeutics, Inc. 2021 Omnibus Equity Incentive Plan (incorporated by reference to Annex H to the proxy statement/prospectus filed</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by the Company on September 24,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45">
        <w:r>
          <w:rPr>
            <w:rFonts w:ascii="Arial" w:cs="Arial" w:eastAsia="Arial" w:hAnsi="Arial"/>
            <w:sz w:val="18"/>
            <w:szCs w:val="18"/>
            <w:u w:val="single" w:color="auto"/>
            <w:color w:val="0000EE"/>
          </w:rPr>
          <w:t>SAB Biotherapeutics, Inc. 2021 Employee Stock Purchase Plan (incorporated by reference to Annex B to the proxy statement/prospectus filed</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by the Company on September 24,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8"/>
            <w:szCs w:val="18"/>
            <w:u w:val="single" w:color="auto"/>
            <w:color w:val="0000EE"/>
          </w:rPr>
          <w:t>Certification of Principal Executive Officer Pursuant to Securities Exchange Act Rules 13a-14(a), as adopted Pursuant to Section 302 of the</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8"/>
            <w:szCs w:val="18"/>
            <w:u w:val="single" w:color="auto"/>
            <w:color w:val="0000EE"/>
          </w:rPr>
          <w:t>Certification of Principal Financial Officer Pursuant to Securities Exchange Act Rules 13a-14(a), as adopted Pursuant to Section 302 of the</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jc w:val="both"/>
        <w:ind w:left="780" w:hanging="779"/>
        <w:spacing w:after="0" w:line="250"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w:anchor="page30">
        <w:r>
          <w:rPr>
            <w:rFonts w:ascii="Arial" w:cs="Arial" w:eastAsia="Arial" w:hAnsi="Arial"/>
            <w:sz w:val="18"/>
            <w:szCs w:val="18"/>
            <w:u w:val="single" w:color="auto"/>
            <w:color w:val="0000EE"/>
          </w:rPr>
          <w:t>Certification of Principal Executive and Principal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and footnotes from the Registrant’s Quarterly Report on Form 10-Q for the fiscal quarter ended September</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30, 2021 formatted in Inline Extensible Business Reporting Language (Inline XBRL):</w:t>
      </w:r>
    </w:p>
    <w:p>
      <w:pPr>
        <w:spacing w:after="0" w:line="9" w:lineRule="exact"/>
        <w:rPr>
          <w:sz w:val="20"/>
          <w:szCs w:val="20"/>
          <w:color w:val="auto"/>
        </w:rPr>
      </w:pPr>
    </w:p>
    <w:p>
      <w:pPr>
        <w:ind w:left="780"/>
        <w:spacing w:after="0" w:line="250"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101.SCH Inline XBRL Taxonomy Extension Schema</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101.LAB Inline XBRL Taxonomy Extension Label Linkbase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contract or arrangement.</w:t>
      </w:r>
    </w:p>
    <w:p>
      <w:pPr>
        <w:sectPr>
          <w:pgSz w:w="11900" w:h="16838" w:orient="portrait"/>
          <w:cols w:equalWidth="0" w:num="1">
            <w:col w:w="11240"/>
          </w:cols>
          <w:pgMar w:left="320" w:top="688" w:right="3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SAB Biotherapeutics,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Eddie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Eddie J. Sullivan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Russell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Russell Beyer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7" w:name="page28"/>
    <w:bookmarkEnd w:id="27"/>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CERTIFICATION OF PRINCIPAL EXECUTIVE OFFICER AND PRINCIPAL FINANCIAL OFFICER PURSUANT TO RULE 13A-14(A) UNDER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Eddie J. Sullivan, Ph.D., certify that:</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SAB Biotherapeutics,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308" w:lineRule="auto"/>
        <w:tabs>
          <w:tab w:leader="none" w:pos="181" w:val="left"/>
        </w:tabs>
        <w:numPr>
          <w:ilvl w:val="0"/>
          <w:numId w:val="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42"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87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187"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828"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835"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Eddie J. Sullivan,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Eddie J. Sullivan, Ph.D.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SAB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CERTIFICATION OF PRINCIPAL EXECUTIVE OFFICER AND PRINCIPAL FINANCIAL OFFICER PURSUANT TO RULE 13A-14(A) UNDER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Russell Beyer,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SAB Biotherapeutics,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308" w:lineRule="auto"/>
        <w:tabs>
          <w:tab w:leader="none" w:pos="181" w:val="left"/>
        </w:tabs>
        <w:numPr>
          <w:ilvl w:val="0"/>
          <w:numId w:val="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42"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87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828"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83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Russell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Russell Beyer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SAB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10240"/>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SAB Biotherapeutics, Inc. (the “Company”) on Form 10-Q for the quarterly period ended September 30, 2021, as filed with the Securities and Exchange Commission (the “Report”), I, Eddie J. Sullivan, Ph.D., President and Chief Executive Officer of the Company, and I, Russell Beyer, Chief Financial Officer of the Company, each certify, pursuant to 18 U.S.C. §1350, as added by §906 of the Sarbanes-Oxley Act of 2002, that:</w:t>
      </w:r>
    </w:p>
    <w:p>
      <w:pPr>
        <w:spacing w:after="0" w:line="187" w:lineRule="exact"/>
        <w:rPr>
          <w:sz w:val="20"/>
          <w:szCs w:val="20"/>
          <w:color w:val="auto"/>
        </w:rPr>
      </w:pPr>
    </w:p>
    <w:p>
      <w:pPr>
        <w:ind w:left="900" w:hanging="1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721"/>
        <w:spacing w:after="0" w:line="277" w:lineRule="auto"/>
        <w:tabs>
          <w:tab w:leader="none" w:pos="9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22,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Eddie J. Sullivan,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Eddie J. Sullivan, Ph.D.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SAB Biotherapeutics, Inc.</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Russell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Russell Beyer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SAB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37" Type="http://schemas.openxmlformats.org/officeDocument/2006/relationships/hyperlink" Target="https://www.sec.gov/Archives/edgar/data/1833214/000149315221026649/ex3-1.htm" TargetMode="External"/><Relationship Id="rId38" Type="http://schemas.openxmlformats.org/officeDocument/2006/relationships/hyperlink" Target="https://www.sec.gov/Archives/edgar/data/1833214/000149315221026649/ex3-2.htm" TargetMode="External"/><Relationship Id="rId39" Type="http://schemas.openxmlformats.org/officeDocument/2006/relationships/hyperlink" Target="https://www.sec.gov/Archives/edgar/data/1833214/000149315221026649/ex10-1.htm" TargetMode="External"/><Relationship Id="rId40" Type="http://schemas.openxmlformats.org/officeDocument/2006/relationships/hyperlink" Target="https://www.sec.gov/Archives/edgar/data/1833214/000149315221026649/ex10-2.htm" TargetMode="External"/><Relationship Id="rId41" Type="http://schemas.openxmlformats.org/officeDocument/2006/relationships/hyperlink" Target="https://www.sec.gov/Archives/edgar/data/1833214/000149315221026649/ex10-3.htm" TargetMode="External"/><Relationship Id="rId42" Type="http://schemas.openxmlformats.org/officeDocument/2006/relationships/hyperlink" Target="https://www.sec.gov/Archives/edgar/data/1833214/000149315221026649/ex10-4.htm" TargetMode="External"/><Relationship Id="rId43" Type="http://schemas.openxmlformats.org/officeDocument/2006/relationships/hyperlink" Target="https://www.sec.gov/Archives/edgar/data/1833214/000149315221026649/ex10-5.htm" TargetMode="External"/><Relationship Id="rId44" Type="http://schemas.openxmlformats.org/officeDocument/2006/relationships/hyperlink" Target="https://www.sec.gov/Archives/edgar/data/1833214/000149315221026649/ex10-6.htm" TargetMode="External"/><Relationship Id="rId45" Type="http://schemas.openxmlformats.org/officeDocument/2006/relationships/hyperlink" Target="https://www.sec.gov/Archives/edgar/data/1833214/000149315221023619/form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2021-11-22T15:10:54Z</dcterms:created>
  <dcterms:modified xsi:type="dcterms:W3CDTF">2021-11-22T15:10:54Z</dcterms:modified>
</cp:coreProperties>
</file>