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SAB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Balyasny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5,089,939.00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5,089,939.00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5,089,939.00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5,089,939.00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5,089,939.00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5,089,939.00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OO</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Balyasny Asset Management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5,089,939.00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5,089,939.00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5,089,939.00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Dames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5,089,939.00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5,089,939.00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5,089,939.00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Dmitry Balyasny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5,089,939.00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5,089,939.00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5,089,939.00</w:t>
      </w:r>
    </w:p>
    <w:p>
      <w:pPr>
        <w:spacing w:after="0" w:line="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SAB Biotherapeutics,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777 W. 41st St, Suite 401, Miami Beach, FL, 33140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being filed by (1) Balyasny Asset Management L.P., a Delaware limited partnership ("BAM"), (2)</w:t>
      </w:r>
    </w:p>
    <w:p>
      <w:pPr>
        <w:spacing w:after="0" w:line="26" w:lineRule="exact"/>
        <w:rPr>
          <w:sz w:val="20"/>
          <w:szCs w:val="20"/>
          <w:color w:val="auto"/>
        </w:rPr>
      </w:pPr>
    </w:p>
    <w:p>
      <w:pPr>
        <w:ind w:left="920" w:right="80" w:hanging="912"/>
        <w:spacing w:after="0" w:line="196"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2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BAM, BAM GP, BAM Holdings, Dames, and Mr. Balyasny is located at 444 West Lake Street, 50th Floor, Chicago, IL 60606.</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BAM is a Delaware limited partnership, (2) BAM GP is a Delaware limited liability company, (3) BAM Holdings is a Delaware limited partnership, (4) Dames is a Delaware limited liability company, and (5) Mr. Balyasny is a United States citizen.</w:t>
      </w:r>
    </w:p>
    <w:p>
      <w:pPr>
        <w:sectPr>
          <w:pgSz w:w="11900" w:h="16838" w:orient="portrait"/>
          <w:cols w:equalWidth="0" w:num="1">
            <w:col w:w="11080"/>
          </w:cols>
          <w:pgMar w:left="360" w:top="355" w:right="45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ectPr>
          <w:pgSz w:w="11900" w:h="16838" w:orient="portrait"/>
          <w:cols w:equalWidth="0" w:num="2">
            <w:col w:w="620" w:space="300"/>
            <w:col w:w="10160"/>
          </w:cols>
          <w:pgMar w:left="360" w:top="355" w:right="459" w:bottom="0" w:gutter="0" w:footer="0" w:header="0"/>
          <w:type w:val="continuous"/>
        </w:sectPr>
      </w:pPr>
    </w:p>
    <w:p>
      <w:pPr>
        <w:spacing w:after="0"/>
        <w:tabs>
          <w:tab w:leader="none" w:pos="906" w:val="left"/>
        </w:tabs>
        <w:rPr>
          <w:sz w:val="20"/>
          <w:szCs w:val="20"/>
          <w:color w:val="auto"/>
        </w:rPr>
      </w:pPr>
      <w:r>
        <w:rPr>
          <w:rFonts w:ascii="Times New Roman" w:cs="Times New Roman" w:eastAsia="Times New Roman" w:hAnsi="Times New Roman"/>
          <w:sz w:val="21"/>
          <w:szCs w:val="21"/>
          <w:color w:val="auto"/>
        </w:rPr>
        <w:t>(k)</w:t>
      </w:r>
      <w:r>
        <w:rPr>
          <w:sz w:val="20"/>
          <w:szCs w:val="20"/>
          <w:color w:val="auto"/>
        </w:rPr>
        <w:tab/>
      </w:r>
      <w:r>
        <w:rPr>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ectPr>
          <w:pgSz w:w="11900" w:h="16838" w:orient="portrait"/>
          <w:cols w:equalWidth="0" w:num="1">
            <w:col w:w="11080"/>
          </w:cols>
          <w:pgMar w:left="360" w:top="355" w:right="459" w:bottom="0" w:gutter="0" w:footer="0" w:header="0"/>
          <w:type w:val="continuous"/>
        </w:sectPr>
      </w:pPr>
    </w:p>
    <w:bookmarkStart w:id="5" w:name="page6"/>
    <w:bookmarkEnd w:id="5"/>
    <w:p>
      <w:pPr>
        <w:spacing w:after="0" w:line="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5" w:lineRule="auto"/>
        <w:rPr>
          <w:sz w:val="20"/>
          <w:szCs w:val="20"/>
          <w:color w:val="auto"/>
        </w:rPr>
      </w:pPr>
      <w:r>
        <w:rPr>
          <w:rFonts w:ascii="Times New Roman" w:cs="Times New Roman" w:eastAsia="Times New Roman" w:hAnsi="Times New Roman"/>
          <w:sz w:val="21"/>
          <w:szCs w:val="21"/>
          <w:color w:val="auto"/>
        </w:rPr>
        <w:t>By virtue of its position as the investment manager of Atlas Diversified Master Fund, Ltd ("ADMF"), the direct holder of 1,450,439 shares of common stock, par value $0.0001 per share ("Shares"), reported herein, and by virtue of its position as the investment manager of Atlas Private Holdings (Cayman) Ltd. ("APHC"), is the direct holder of the 2,310,000 shares of common stock (including an additional 3,465,000 shares issued upon the exercise of warrants), par value $0.0001 per share, reported herein, BAM may be deemed to exercise voting and investment power over such Shares held by ADMF and APHC and thus may be deemed to beneficially own such Shares. By virtue of its</w:t>
      </w:r>
    </w:p>
    <w:p>
      <w:pPr>
        <w:spacing w:after="0" w:line="3" w:lineRule="exact"/>
        <w:rPr>
          <w:sz w:val="20"/>
          <w:szCs w:val="20"/>
          <w:color w:val="auto"/>
        </w:rPr>
      </w:pPr>
    </w:p>
    <w:p>
      <w:pPr>
        <w:ind w:left="920" w:right="12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position as the General Partner of BAM, BAM GP may be deemed to exercise voting and investment power over the Shares held directly by ADMF and APHC and thus may be deemed to beneficially own such Shares. By virtue of its position as the Sole Member of BAM GP, BAM Holdings may be deemed to exercise voting and investment power over the Shares held directly by ADMF and APHC and thus may be deemed to beneficially own such Shares. By virtue of its position as the General Partner of BAM Holdings, Dames may be deemed to exercise voting and investment power over the Shares held directly by ADMF and APHC and thus may be deemed to beneficially own such Shares. By virtue of his position as the Managing Member of Dames, Mr. Balyasny may be deemed to exercise voting and investment power over the Shares held directly by ADMF and APHC and thus may be deemed to beneficially own such Shares.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4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Each of the Reporting Persons may be deemed to be the beneficial owner of approximately 9.99% of the Shares, based on the 50,951,037 Shares outstanding as of March 2, 2026, as reported in the Issuer's annual report filed on</w:t>
      </w:r>
    </w:p>
    <w:p>
      <w:pPr>
        <w:ind w:left="920" w:right="180" w:hanging="912"/>
        <w:spacing w:after="0" w:line="233"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10-K with the Securities and Exchange Commission on March 9, 2026. The reported amount consists of 3,760,439, shares and 1,329,500 shares issuable upon the exercise of 34,650 Warrants subject to the Beneficial Ownership Limitation (as defined herein). The Warrants are subject to a blocker which prevents the holder from exercising the Warrants to the extent that, upon such exercise, the holder would beneficially own in excess of 9.99% of the Shares outstanding as a result of the exercise (the "Beneficial Ownership Limitation").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409"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Reporting Persons has the sole power to vote or to direct the vote of 5,044,139 shares.</w:t>
      </w:r>
    </w:p>
    <w:p>
      <w:pPr>
        <w:spacing w:after="0" w:line="287"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Reporting Persons has the sole power to vote or to direct the vote of 5,044,139 shares.</w:t>
      </w:r>
    </w:p>
    <w:p>
      <w:pPr>
        <w:spacing w:after="0" w:line="287" w:lineRule="exact"/>
        <w:rPr>
          <w:sz w:val="20"/>
          <w:szCs w:val="20"/>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ADMF and APHC, are both Cayman Islands exempted companies that are investment management clients of BAM, have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47" w:orient="portrait"/>
          <w:cols w:equalWidth="0" w:num="2">
            <w:col w:w="620" w:space="300"/>
            <w:col w:w="10220"/>
          </w:cols>
          <w:pgMar w:left="360" w:top="409" w:right="399" w:bottom="0" w:gutter="0" w:footer="0" w:header="0"/>
          <w:type w:val="continuous"/>
        </w:sectPr>
      </w:pPr>
    </w:p>
    <w:bookmarkStart w:id="6" w:name="page7"/>
    <w:bookmarkEnd w:id="6"/>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Balyasny Asset Management L.P.</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BAM GP LLC</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Balyasny Asset Management Holdings LP</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Dames GP LLC</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Schroeder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Scott Schroeder /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Dmitry Balyasny</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Dmitry Balyasny</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Dmitry Balyasny / Self</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decimal"/>
      <w:start w:val="12"/>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2026-05-15T05:43:50Z</dcterms:created>
  <dcterms:modified xsi:type="dcterms:W3CDTF">2026-05-15T05:43:50Z</dcterms:modified>
</cp:coreProperties>
</file>