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bs-20260618.htm"/>
      <w:bookmarkStart w:id="1" w:name="kssabs2026061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SAB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001-39871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85-3899721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777 W 41st St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845-2813</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4861"/>
        <w:gridCol w:w="146"/>
        <w:gridCol w:w="946"/>
        <w:gridCol w:w="146"/>
        <w:gridCol w:w="3826"/>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8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exercisable for one share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18, 2026, SAB Biotherapeutics, Inc. (the “Company” or “SAB”), held its 2026 Annual Meeting of Stockholders (the “Annual Meeting”). The total number of shares of common stock entitled to vote at the Annual Meeting was 77,966,409, and there were 59,349,534 shares present in person or by proxy at the Annual Meeting, which represented approximately 76.12% of the outstanding shares entitled to vote at the Annual Meeting and which constituted a quorum for the transaction of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the Annual Meeting, the shareholders voted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Elect Dr. David Zaccardelli, Pharm.D., Katie Ellias, David Link, MBA, and Andrew Moin, as Class II directors to serve for a term of three years or until such director’s successor is duly elected and qualified or until such director’s earlier death, resignation, disqualification or removal.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Ratify the appointment of EisnerAmper LLP as the independent registered public accounting firm of the Company for the fiscal year ending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voting results on these proposals were as follows:</w:t>
      </w:r>
    </w:p>
    <w:p>
      <w:pPr>
        <w:pStyle w:val="TextBody"/>
        <w:bidi w:val="0"/>
        <w:spacing w:before="120" w:after="283"/>
        <w:jc w:val="left"/>
        <w:rPr>
          <w:rFonts w:ascii="Times New Roman" w:hAnsi="Times New Roman"/>
          <w:sz w:val="20"/>
        </w:rPr>
      </w:pPr>
      <w:r>
        <w:rPr>
          <w:rFonts w:ascii="Times New Roman" w:hAnsi="Times New Roman"/>
          <w:b/>
          <w:color w:val="000000"/>
          <w:sz w:val="20"/>
        </w:rPr>
        <w:t>Proposal 1</w:t>
      </w:r>
      <w:r>
        <w:rPr>
          <w:rFonts w:ascii="Times New Roman" w:hAnsi="Times New Roman"/>
          <w:color w:val="000000"/>
          <w:sz w:val="20"/>
        </w:rPr>
        <w:t>: Election of four Class II directors</w:t>
      </w:r>
    </w:p>
    <w:tbl>
      <w:tblPr>
        <w:tblW w:w="6633" w:type="dxa"/>
        <w:jc w:val="left"/>
        <w:tblInd w:w="0" w:type="dxa"/>
        <w:tblLayout w:type="fixed"/>
        <w:tblCellMar>
          <w:top w:w="28" w:type="dxa"/>
          <w:left w:w="28" w:type="dxa"/>
          <w:bottom w:w="28" w:type="dxa"/>
          <w:right w:w="28" w:type="dxa"/>
        </w:tblCellMar>
      </w:tblPr>
      <w:tblGrid>
        <w:gridCol w:w="2401"/>
        <w:gridCol w:w="146"/>
        <w:gridCol w:w="1036"/>
        <w:gridCol w:w="146"/>
        <w:gridCol w:w="931"/>
        <w:gridCol w:w="146"/>
        <w:gridCol w:w="1636"/>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Zaccardelli, Pharm.D.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48,352,114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10,994,436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Link, MBA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44,083,923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4,271,175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10,994,436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Katie Ellias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48,350,086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10,994,436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Moin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44,157,704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4,197,394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10,994,436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sz w:val="20"/>
        </w:rPr>
      </w:pPr>
      <w:r>
        <w:rPr>
          <w:rFonts w:ascii="Times New Roman" w:hAnsi="Times New Roman"/>
          <w:b/>
          <w:color w:val="000000"/>
          <w:sz w:val="20"/>
        </w:rPr>
        <w:t xml:space="preserve">Proposal 2: </w:t>
      </w:r>
      <w:r>
        <w:rPr>
          <w:rFonts w:ascii="Times New Roman" w:hAnsi="Times New Roman"/>
          <w:color w:val="000000"/>
          <w:sz w:val="20"/>
        </w:rPr>
        <w:t>Ratification of the appointment of EisnerAmper LLP as the Company's independent registered public accounting firm for the fiscal year ending December 31, 2026</w:t>
      </w:r>
    </w:p>
    <w:tbl>
      <w:tblPr>
        <w:tblW w:w="3839" w:type="dxa"/>
        <w:jc w:val="left"/>
        <w:tblInd w:w="0" w:type="dxa"/>
        <w:tblLayout w:type="fixed"/>
        <w:tblCellMar>
          <w:top w:w="28" w:type="dxa"/>
          <w:left w:w="28" w:type="dxa"/>
          <w:bottom w:w="28" w:type="dxa"/>
          <w:right w:w="28" w:type="dxa"/>
        </w:tblCellMar>
      </w:tblPr>
      <w:tblGrid>
        <w:gridCol w:w="1051"/>
        <w:gridCol w:w="109"/>
        <w:gridCol w:w="1261"/>
        <w:gridCol w:w="146"/>
        <w:gridCol w:w="108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59,319,363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26,798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04" w:type="dxa"/>
        <w:jc w:val="left"/>
        <w:tblInd w:w="0" w:type="dxa"/>
        <w:tblLayout w:type="fixed"/>
        <w:tblCellMar>
          <w:top w:w="28" w:type="dxa"/>
          <w:left w:w="28" w:type="dxa"/>
          <w:bottom w:w="28" w:type="dxa"/>
          <w:right w:w="28" w:type="dxa"/>
        </w:tblCellMar>
      </w:tblPr>
      <w:tblGrid>
        <w:gridCol w:w="556"/>
        <w:gridCol w:w="1246"/>
        <w:gridCol w:w="451"/>
        <w:gridCol w:w="225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SAB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Samuel J. Reich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Samuel J. Reich</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3379</Characters>
  <CharactersWithSpaces>3975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